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MacIntyre Grain Services</w:t>
            </w:r>
          </w:p>
        </w:tc>
      </w:tr>
      <w:tr>
        <w:tc>
          <w:tcPr>
            <w:tcW w:type="dxa" w:w="3118"/>
            <w:shd w:val="clear" w:color="auto" w:fill="DCE6F1"/>
            <w:vAlign w:val="center"/>
          </w:tcPr>
          <w:p>
            <w:r>
              <w:rPr>
                <w:b/>
                <w:sz w:val="18"/>
              </w:rPr>
              <w:t>RE Number</w:t>
            </w:r>
          </w:p>
        </w:tc>
        <w:tc>
          <w:tcPr>
            <w:tcW w:type="dxa" w:w="6236"/>
            <w:vAlign w:val="center"/>
          </w:tcPr>
          <w:p>
            <w:r>
              <w:rPr>
                <w:sz w:val="18"/>
              </w:rPr>
              <w:t>RE-NSW-2021-0177</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55 Bruxner Highway, Moree NSW 2400</w:t>
            </w:r>
          </w:p>
        </w:tc>
      </w:tr>
      <w:tr>
        <w:tc>
          <w:tcPr>
            <w:tcW w:type="dxa" w:w="3118"/>
            <w:shd w:val="clear" w:color="auto" w:fill="DCE6F1"/>
            <w:vAlign w:val="center"/>
          </w:tcPr>
          <w:p>
            <w:r>
              <w:rPr>
                <w:b/>
                <w:sz w:val="18"/>
              </w:rPr>
              <w:t>Registered Commodity</w:t>
            </w:r>
          </w:p>
        </w:tc>
        <w:tc>
          <w:tcPr>
            <w:tcW w:type="dxa" w:w="6236"/>
            <w:vAlign w:val="center"/>
          </w:tcPr>
          <w:p>
            <w:r>
              <w:rPr>
                <w:sz w:val="18"/>
              </w:rPr>
              <w:t>Cotton</w:t>
            </w:r>
          </w:p>
        </w:tc>
      </w:tr>
      <w:tr>
        <w:tc>
          <w:tcPr>
            <w:tcW w:type="dxa" w:w="3118"/>
            <w:shd w:val="clear" w:color="auto" w:fill="DCE6F1"/>
            <w:vAlign w:val="center"/>
          </w:tcPr>
          <w:p>
            <w:r>
              <w:rPr>
                <w:b/>
                <w:sz w:val="18"/>
              </w:rPr>
              <w:t>Responsible Officer</w:t>
            </w:r>
          </w:p>
        </w:tc>
        <w:tc>
          <w:tcPr>
            <w:tcW w:type="dxa" w:w="6236"/>
            <w:vAlign w:val="center"/>
          </w:tcPr>
          <w:p>
            <w:r>
              <w:rPr>
                <w:sz w:val="18"/>
              </w:rPr>
              <w:t>Steve Larson</w:t>
            </w:r>
          </w:p>
        </w:tc>
      </w:tr>
      <w:tr>
        <w:tc>
          <w:tcPr>
            <w:tcW w:type="dxa" w:w="3118"/>
            <w:shd w:val="clear" w:color="auto" w:fill="DCE6F1"/>
            <w:vAlign w:val="center"/>
          </w:tcPr>
          <w:p>
            <w:r>
              <w:rPr>
                <w:b/>
                <w:sz w:val="18"/>
              </w:rPr>
              <w:t>Property Area</w:t>
            </w:r>
          </w:p>
        </w:tc>
        <w:tc>
          <w:tcPr>
            <w:tcW w:type="dxa" w:w="6236"/>
            <w:vAlign w:val="center"/>
          </w:tcPr>
          <w:p>
            <w:r>
              <w:rPr>
                <w:sz w:val="18"/>
              </w:rPr>
              <w:t>4200.0 ha</w:t>
            </w:r>
          </w:p>
        </w:tc>
      </w:tr>
      <w:tr>
        <w:tc>
          <w:tcPr>
            <w:tcW w:type="dxa" w:w="3118"/>
            <w:shd w:val="clear" w:color="auto" w:fill="DCE6F1"/>
            <w:vAlign w:val="center"/>
          </w:tcPr>
          <w:p>
            <w:r>
              <w:rPr>
                <w:b/>
                <w:sz w:val="18"/>
              </w:rPr>
              <w:t>Year Established</w:t>
            </w:r>
          </w:p>
        </w:tc>
        <w:tc>
          <w:tcPr>
            <w:tcW w:type="dxa" w:w="6236"/>
            <w:vAlign w:val="center"/>
          </w:tcPr>
          <w:p>
            <w:r>
              <w:rPr>
                <w:sz w:val="18"/>
              </w:rPr>
              <w:t>2012</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12 September 2024</w:t>
            </w:r>
          </w:p>
        </w:tc>
      </w:tr>
      <w:tr>
        <w:tc>
          <w:tcPr>
            <w:tcW w:type="dxa" w:w="3118"/>
            <w:shd w:val="clear" w:color="auto" w:fill="DCE6F1"/>
            <w:vAlign w:val="center"/>
          </w:tcPr>
          <w:p>
            <w:r>
              <w:rPr>
                <w:b/>
                <w:sz w:val="18"/>
              </w:rPr>
              <w:t>Next Review</w:t>
            </w:r>
          </w:p>
        </w:tc>
        <w:tc>
          <w:tcPr>
            <w:tcW w:type="dxa" w:w="6236"/>
            <w:vAlign w:val="center"/>
          </w:tcPr>
          <w:p>
            <w:r>
              <w:rPr>
                <w:sz w:val="18"/>
              </w:rPr>
              <w:t>12 September 2026</w:t>
            </w:r>
          </w:p>
        </w:tc>
      </w:tr>
    </w:tbl>
    <w:p/>
    <w:p>
      <w:pPr>
        <w:pStyle w:val="Heading1"/>
      </w:pPr>
      <w:r>
        <w:rPr>
          <w:color w:val="1F497D"/>
        </w:rPr>
        <w:t>1.  OVERVIEW</w:t>
      </w:r>
    </w:p>
    <w:p>
      <w:r>
        <w:rPr>
          <w:b w:val="0"/>
          <w:i w:val="0"/>
          <w:sz w:val="20"/>
        </w:rPr>
        <w:t>MacIntyre Grain Services is a registered export establishment located at 55 Bruxner Highway, Moree NSW 2400, NSW. The establishment holds RE Number RE-NSW-2021-0177 and is registered to handle and export Cotton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60×25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S1–S8</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14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continuous-flow</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Cotton.</w:t>
      </w:r>
    </w:p>
    <w:p>
      <w:pPr>
        <w:pStyle w:val="Heading2"/>
      </w:pPr>
      <w:r>
        <w:t>4.2  Lighting (C2)</w:t>
      </w:r>
    </w:p>
    <w:p>
      <w:r>
        <w:rPr>
          <w:b w:val="0"/>
          <w:i w:val="0"/>
          <w:sz w:val="20"/>
        </w:rPr>
        <w:t>LED panel lighting installed 2015: 550 lux (processing), 440 lux (storage), 418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2 toilets, 2 hand basins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The processing shed was purpose-built with full pest exclusion features. Several maintenance items have accumulated: roller door rubber threshold seals on doors 2 and 4 are worn with gaps of 8–22 mm; the cold store access door gasket has delaminated on the hinge side creating a 12 mm gap when closed; one south wall ventilation panel mesh has a 80×40 mm hole. These items are on the maintenance schedule.</w:t>
      </w:r>
    </w:p>
    <w:p>
      <w:pPr>
        <w:pStyle w:val="Heading2"/>
      </w:pPr>
      <w:r>
        <w:t>5.3  Waste Disposal Design (C6)</w:t>
      </w:r>
    </w:p>
    <w:p>
      <w:r>
        <w:rPr>
          <w:b w:val="0"/>
          <w:i w:val="0"/>
          <w:sz w:val="20"/>
        </w:rPr>
        <w:t>Contained waste management infrastructure: liquid drains to bunded sump (4000 L) outside the processing building; solid waste in sealed wheeled bins with lids; external waste bay roofed and bunded on three sides with 300 mm concrete kerb and sealed slab. Organic waste composted in covered bay 50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October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Cotton. All product-contact surfaces are cleaned between commodity lots using the documented cleaning procedure. Non-product-contact surfaces cleaned on a 4-weekly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December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Steve Larson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12 September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