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MANAGEMENSW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Southern Tablelands Lupins</w:t>
            </w:r>
          </w:p>
        </w:tc>
      </w:tr>
      <w:tr>
        <w:tc>
          <w:tcPr>
            <w:tcW w:type="dxa" w:w="3118"/>
            <w:shd w:val="clear" w:color="auto" w:fill="DCE6F1"/>
            <w:vAlign w:val="center"/>
          </w:tcPr>
          <w:p>
            <w:r>
              <w:rPr>
                <w:b/>
                <w:sz w:val="18"/>
              </w:rPr>
              <w:t>RE Number</w:t>
            </w:r>
          </w:p>
        </w:tc>
        <w:tc>
          <w:tcPr>
            <w:tcW w:type="dxa" w:w="6236"/>
            <w:vAlign w:val="center"/>
          </w:tcPr>
          <w:p>
            <w:r>
              <w:rPr>
                <w:sz w:val="18"/>
              </w:rPr>
              <w:t>RE-NSW-2021-0200</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33 Federal Highway, Goulburn NSW 2580</w:t>
            </w:r>
          </w:p>
        </w:tc>
      </w:tr>
      <w:tr>
        <w:tc>
          <w:tcPr>
            <w:tcW w:type="dxa" w:w="3118"/>
            <w:shd w:val="clear" w:color="auto" w:fill="DCE6F1"/>
            <w:vAlign w:val="center"/>
          </w:tcPr>
          <w:p>
            <w:r>
              <w:rPr>
                <w:b/>
                <w:sz w:val="18"/>
              </w:rPr>
              <w:t>Registered Commodity</w:t>
            </w:r>
          </w:p>
        </w:tc>
        <w:tc>
          <w:tcPr>
            <w:tcW w:type="dxa" w:w="6236"/>
            <w:vAlign w:val="center"/>
          </w:tcPr>
          <w:p>
            <w:r>
              <w:rPr>
                <w:sz w:val="18"/>
              </w:rPr>
              <w:t>Cotton</w:t>
            </w:r>
          </w:p>
        </w:tc>
      </w:tr>
      <w:tr>
        <w:tc>
          <w:tcPr>
            <w:tcW w:type="dxa" w:w="3118"/>
            <w:shd w:val="clear" w:color="auto" w:fill="DCE6F1"/>
            <w:vAlign w:val="center"/>
          </w:tcPr>
          <w:p>
            <w:r>
              <w:rPr>
                <w:b/>
                <w:sz w:val="18"/>
              </w:rPr>
              <w:t>Responsible Officer</w:t>
            </w:r>
          </w:p>
        </w:tc>
        <w:tc>
          <w:tcPr>
            <w:tcW w:type="dxa" w:w="6236"/>
            <w:vAlign w:val="center"/>
          </w:tcPr>
          <w:p>
            <w:r>
              <w:rPr>
                <w:sz w:val="18"/>
              </w:rPr>
              <w:t>Nathan Cross</w:t>
            </w:r>
          </w:p>
        </w:tc>
      </w:tr>
      <w:tr>
        <w:tc>
          <w:tcPr>
            <w:tcW w:type="dxa" w:w="3118"/>
            <w:shd w:val="clear" w:color="auto" w:fill="DCE6F1"/>
            <w:vAlign w:val="center"/>
          </w:tcPr>
          <w:p>
            <w:r>
              <w:rPr>
                <w:b/>
                <w:sz w:val="18"/>
              </w:rPr>
              <w:t>Property Area</w:t>
            </w:r>
          </w:p>
        </w:tc>
        <w:tc>
          <w:tcPr>
            <w:tcW w:type="dxa" w:w="6236"/>
            <w:vAlign w:val="center"/>
          </w:tcPr>
          <w:p>
            <w:r>
              <w:rPr>
                <w:sz w:val="18"/>
              </w:rPr>
              <w:t>4500.0 ha</w:t>
            </w:r>
          </w:p>
        </w:tc>
      </w:tr>
      <w:tr>
        <w:tc>
          <w:tcPr>
            <w:tcW w:type="dxa" w:w="3118"/>
            <w:shd w:val="clear" w:color="auto" w:fill="DCE6F1"/>
            <w:vAlign w:val="center"/>
          </w:tcPr>
          <w:p>
            <w:r>
              <w:rPr>
                <w:b/>
                <w:sz w:val="18"/>
              </w:rPr>
              <w:t>Year Established</w:t>
            </w:r>
          </w:p>
        </w:tc>
        <w:tc>
          <w:tcPr>
            <w:tcW w:type="dxa" w:w="6236"/>
            <w:vAlign w:val="center"/>
          </w:tcPr>
          <w:p>
            <w:r>
              <w:rPr>
                <w:sz w:val="18"/>
              </w:rPr>
              <w:t>2016</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16 May 2024</w:t>
            </w:r>
          </w:p>
        </w:tc>
      </w:tr>
      <w:tr>
        <w:tc>
          <w:tcPr>
            <w:tcW w:type="dxa" w:w="3118"/>
            <w:shd w:val="clear" w:color="auto" w:fill="DCE6F1"/>
            <w:vAlign w:val="center"/>
          </w:tcPr>
          <w:p>
            <w:r>
              <w:rPr>
                <w:b/>
                <w:sz w:val="18"/>
              </w:rPr>
              <w:t>Next Review</w:t>
            </w:r>
          </w:p>
        </w:tc>
        <w:tc>
          <w:tcPr>
            <w:tcW w:type="dxa" w:w="6236"/>
            <w:vAlign w:val="center"/>
          </w:tcPr>
          <w:p>
            <w:r>
              <w:rPr>
                <w:sz w:val="18"/>
              </w:rPr>
              <w:t>16 May 2026</w:t>
            </w:r>
          </w:p>
        </w:tc>
      </w:tr>
    </w:tbl>
    <w:p/>
    <w:p>
      <w:pPr>
        <w:pStyle w:val="Heading1"/>
      </w:pPr>
      <w:r>
        <w:rPr>
          <w:color w:val="1F497D"/>
        </w:rPr>
        <w:t>1.  OVERVIEW</w:t>
      </w:r>
    </w:p>
    <w:p>
      <w:r>
        <w:rPr>
          <w:b w:val="0"/>
          <w:i w:val="0"/>
          <w:sz w:val="20"/>
        </w:rPr>
        <w:t>Southern Tablelands Lupins is a registered export establishment located at 33 Federal Highway, Goulburn NSW 2580, NSW. The establishment holds RE Number RE-NSW-2021-0200 and is registered to handle and export Cotton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&amp; Processing Building</w:t>
            </w:r>
          </w:p>
        </w:tc>
        <w:tc>
          <w:tcPr>
            <w:tcW w:type="dxa" w:w="1587"/>
            <w:shd w:val="clear" w:color="auto" w:fill="FFFFFF"/>
            <w:vAlign w:val="center"/>
          </w:tcPr>
          <w:p>
            <w:r>
              <w:rPr>
                <w:sz w:val="18"/>
              </w:rPr>
              <w:t>60×25 m</w:t>
            </w:r>
          </w:p>
        </w:tc>
        <w:tc>
          <w:tcPr>
            <w:tcW w:type="dxa" w:w="1984"/>
            <w:shd w:val="clear" w:color="auto" w:fill="FFFFFF"/>
            <w:vAlign w:val="center"/>
          </w:tcPr>
          <w:p>
            <w:r>
              <w:rPr>
                <w:sz w:val="18"/>
              </w:rPr>
              <w:t>Steel/concrete</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S1–S8</w:t>
            </w:r>
          </w:p>
        </w:tc>
        <w:tc>
          <w:tcPr>
            <w:tcW w:type="dxa" w:w="3118"/>
            <w:shd w:val="clear" w:color="auto" w:fill="F2F2F2"/>
            <w:vAlign w:val="center"/>
          </w:tcPr>
          <w:p>
            <w:r>
              <w:rPr>
                <w:sz w:val="18"/>
              </w:rPr>
              <w:t>Storage Bins</w:t>
            </w:r>
          </w:p>
        </w:tc>
        <w:tc>
          <w:tcPr>
            <w:tcW w:type="dxa" w:w="1587"/>
            <w:shd w:val="clear" w:color="auto" w:fill="F2F2F2"/>
            <w:vAlign w:val="center"/>
          </w:tcPr>
          <w:p>
            <w:r>
              <w:rPr>
                <w:sz w:val="18"/>
              </w:rPr>
              <w:t>Dia. 14 m</w:t>
            </w:r>
          </w:p>
        </w:tc>
        <w:tc>
          <w:tcPr>
            <w:tcW w:type="dxa" w:w="1984"/>
            <w:shd w:val="clear" w:color="auto" w:fill="F2F2F2"/>
            <w:vAlign w:val="center"/>
          </w:tcPr>
          <w:p>
            <w:r>
              <w:rPr>
                <w:sz w:val="18"/>
              </w:rPr>
              <w:t>Galv. steel</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Dispatch Shed</w:t>
            </w:r>
          </w:p>
        </w:tc>
        <w:tc>
          <w:tcPr>
            <w:tcW w:type="dxa" w:w="1587"/>
            <w:shd w:val="clear" w:color="auto" w:fill="FFFFFF"/>
            <w:vAlign w:val="center"/>
          </w:tcPr>
          <w:p>
            <w:r>
              <w:rPr>
                <w:sz w:val="18"/>
              </w:rPr>
              <w:t>35×20 m</w:t>
            </w:r>
          </w:p>
        </w:tc>
        <w:tc>
          <w:tcPr>
            <w:tcW w:type="dxa" w:w="1984"/>
            <w:shd w:val="clear" w:color="auto" w:fill="FFFFFF"/>
            <w:vAlign w:val="center"/>
          </w:tcPr>
          <w:p>
            <w:r>
              <w:rPr>
                <w:sz w:val="18"/>
              </w:rPr>
              <w:t>Tilt-up concrete</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9×5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RB</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room</w:t>
            </w:r>
          </w:p>
        </w:tc>
        <w:tc>
          <w:tcPr>
            <w:tcW w:type="dxa" w:w="2381"/>
            <w:shd w:val="clear" w:color="auto" w:fill="F2F2F2"/>
            <w:vAlign w:val="center"/>
          </w:tcPr>
          <w:p>
            <w:r>
              <w:rPr>
                <w:sz w:val="18"/>
              </w:rPr>
              <w:t>RB north end</w:t>
            </w:r>
          </w:p>
        </w:tc>
      </w:tr>
    </w:tbl>
    <w:p/>
    <w:p>
      <w:pPr>
        <w:pStyle w:val="Heading1"/>
      </w:pPr>
      <w:r>
        <w:rPr>
          <w:color w:val="1F497D"/>
        </w:rPr>
        <w:t>3.  EQUIPMENSW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Receival pit and elevator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receival</w:t>
            </w:r>
          </w:p>
        </w:tc>
      </w:tr>
      <w:tr>
        <w:tc>
          <w:tcPr>
            <w:tcW w:type="dxa" w:w="3685"/>
            <w:shd w:val="clear" w:color="auto" w:fill="F2F2F2"/>
            <w:vAlign w:val="center"/>
          </w:tcPr>
          <w:p>
            <w:r>
              <w:rPr>
                <w:sz w:val="18"/>
              </w:rPr>
              <w:t>Cleaning and separation unit</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Drying system</w:t>
            </w:r>
          </w:p>
        </w:tc>
        <w:tc>
          <w:tcPr>
            <w:tcW w:type="dxa" w:w="1984"/>
            <w:shd w:val="clear" w:color="auto" w:fill="FFFFFF"/>
            <w:vAlign w:val="center"/>
          </w:tcPr>
          <w:p>
            <w:r>
              <w:rPr>
                <w:sz w:val="18"/>
              </w:rPr>
              <w:t>continuous-flow</w:t>
            </w:r>
          </w:p>
        </w:tc>
        <w:tc>
          <w:tcPr>
            <w:tcW w:type="dxa" w:w="4252"/>
            <w:shd w:val="clear" w:color="auto" w:fill="FFFFFF"/>
            <w:vAlign w:val="center"/>
          </w:tcPr>
          <w:p>
            <w:r>
              <w:rPr>
                <w:sz w:val="18"/>
              </w:rPr>
              <w:t>Moisture reduction</w:t>
            </w:r>
          </w:p>
        </w:tc>
      </w:tr>
      <w:tr>
        <w:tc>
          <w:tcPr>
            <w:tcW w:type="dxa" w:w="3685"/>
            <w:shd w:val="clear" w:color="auto" w:fill="F2F2F2"/>
            <w:vAlign w:val="center"/>
          </w:tcPr>
          <w:p>
            <w:r>
              <w:rPr>
                <w:sz w:val="18"/>
              </w:rPr>
              <w:t>Packing/bagging line</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preparation</w:t>
            </w:r>
          </w:p>
        </w:tc>
      </w:tr>
      <w:tr>
        <w:tc>
          <w:tcPr>
            <w:tcW w:type="dxa" w:w="3685"/>
            <w:shd w:val="clear" w:color="auto" w:fill="FFFFFF"/>
            <w:vAlign w:val="center"/>
          </w:tcPr>
          <w:p>
            <w:r>
              <w:rPr>
                <w:sz w:val="18"/>
              </w:rPr>
              <w:t>Weighing system</w:t>
            </w:r>
          </w:p>
        </w:tc>
        <w:tc>
          <w:tcPr>
            <w:tcW w:type="dxa" w:w="1984"/>
            <w:shd w:val="clear" w:color="auto" w:fill="FFFFFF"/>
            <w:vAlign w:val="center"/>
          </w:tcPr>
          <w:p>
            <w:r>
              <w:rPr>
                <w:sz w:val="18"/>
              </w:rPr>
              <w:t>In-line</w:t>
            </w:r>
          </w:p>
        </w:tc>
        <w:tc>
          <w:tcPr>
            <w:tcW w:type="dxa" w:w="4252"/>
            <w:shd w:val="clear" w:color="auto" w:fill="FFFFFF"/>
            <w:vAlign w:val="center"/>
          </w:tcPr>
          <w:p>
            <w:r>
              <w:rPr>
                <w:sz w:val="18"/>
              </w:rPr>
              <w:t>Lot verification</w:t>
            </w:r>
          </w:p>
        </w:tc>
      </w:tr>
      <w:tr>
        <w:tc>
          <w:tcPr>
            <w:tcW w:type="dxa" w:w="3685"/>
            <w:shd w:val="clear" w:color="auto" w:fill="F2F2F2"/>
            <w:vAlign w:val="center"/>
          </w:tcPr>
          <w:p>
            <w:r>
              <w:rPr>
                <w:sz w:val="18"/>
              </w:rPr>
              <w:t>In-line quality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Cotton.</w:t>
      </w:r>
    </w:p>
    <w:p>
      <w:pPr>
        <w:pStyle w:val="Heading2"/>
      </w:pPr>
      <w:r>
        <w:t>4.2  Lighting (C2)</w:t>
      </w:r>
    </w:p>
    <w:p>
      <w:r>
        <w:rPr>
          <w:b w:val="0"/>
          <w:i w:val="0"/>
          <w:sz w:val="20"/>
        </w:rPr>
        <w:t>LED panel lighting installed 2019: 550 lux (processing), 440 lux (storage), 418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2 toilets, 2 hand basins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(4000 L) outside the processing building; solid waste in sealed wheeled bins with lids; external waste bay roofed and bunded on three sides with 300 mm concrete kerb and sealed slab. Organic waste composted in covered bay 50 m from processing. No open waste storage areas.</w:t>
      </w:r>
    </w:p>
    <w:p/>
    <w:p>
      <w:pPr>
        <w:pStyle w:val="Heading1"/>
      </w:pPr>
      <w:r>
        <w:rPr>
          <w:color w:val="1F497D"/>
        </w:rPr>
        <w:t>6.  WASTE MANAGEMENSW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October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Product waste and screenings</w:t>
            </w:r>
          </w:p>
        </w:tc>
        <w:tc>
          <w:tcPr>
            <w:tcW w:type="dxa" w:w="4252"/>
            <w:shd w:val="clear" w:color="auto" w:fill="FFFFFF"/>
            <w:vAlign w:val="center"/>
          </w:tcPr>
          <w:p>
            <w:r>
              <w:rPr>
                <w:sz w:val="18"/>
              </w:rPr>
              <w:t>Collection hoppers under cleaning unit</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Bag filter or cyclone</w:t>
            </w:r>
          </w:p>
        </w:tc>
        <w:tc>
          <w:tcPr>
            <w:tcW w:type="dxa" w:w="2835"/>
            <w:shd w:val="clear" w:color="auto" w:fill="F2F2F2"/>
            <w:vAlign w:val="center"/>
          </w:tcPr>
          <w:p>
            <w:r>
              <w:rPr>
                <w:sz w:val="18"/>
              </w:rPr>
              <w:t>Fortnightly</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Drains → contained sump</w:t>
            </w:r>
          </w:p>
        </w:tc>
        <w:tc>
          <w:tcPr>
            <w:tcW w:type="dxa" w:w="2835"/>
            <w:shd w:val="clear" w:color="auto" w:fill="FFFFFF"/>
            <w:vAlign w:val="center"/>
          </w:tcPr>
          <w:p>
            <w:r>
              <w:rPr>
                <w:sz w:val="18"/>
              </w:rPr>
              <w:t>Weekly</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Covered skip</w:t>
            </w:r>
          </w:p>
        </w:tc>
        <w:tc>
          <w:tcPr>
            <w:tcW w:type="dxa" w:w="2835"/>
            <w:shd w:val="clear" w:color="auto" w:fill="F2F2F2"/>
            <w:vAlign w:val="center"/>
          </w:tcPr>
          <w:p>
            <w:r>
              <w:rPr>
                <w:sz w:val="18"/>
              </w:rPr>
              <w:t>Fortnightly contractor</w:t>
            </w:r>
          </w:p>
        </w:tc>
      </w:tr>
    </w:tbl>
    <w:p/>
    <w:p>
      <w:pPr>
        <w:pStyle w:val="Heading1"/>
      </w:pPr>
      <w:r>
        <w:rPr>
          <w:color w:val="1F497D"/>
        </w:rPr>
        <w:t>7.  ESTABLISHMENSW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Cotton. All product-contact surfaces are cleaned between commodity lots using the documented cleaning procedure. Non-product-contact surfaces cleaned on a 4-weekly schedule. No hygiene deficiencies at most recent inspection.</w:t>
      </w:r>
    </w:p>
    <w:p>
      <w:pPr>
        <w:pStyle w:val="Heading2"/>
      </w:pPr>
      <w:r>
        <w:t>7.2  Pest Condition (C9)</w:t>
      </w:r>
    </w:p>
    <w:p>
      <w:r>
        <w:rPr>
          <w:b w:val="0"/>
          <w:i w:val="0"/>
          <w:sz w:val="20"/>
        </w:rPr>
        <w:t>Pest condition assessment: Rodents: nil evidence in 6 months of monitoring. Grain insects: probe samples from all storage negative for live insects. Birds: no evidence of access to grain-contact areas. Last licensed fumigation: December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Power and Water Corp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bore water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Nathan Cross</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16 May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