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97D"/>
          <w:sz w:val="44"/>
        </w:rPr>
        <w:t>FARM SITE PLAN</w:t>
      </w:r>
    </w:p>
    <w:p/>
    <w:p>
      <w:pPr>
        <w:jc w:val="center"/>
      </w:pPr>
      <w:r>
        <w:rPr>
          <w:color w:val="1F497D"/>
          <w:sz w:val="24"/>
        </w:rPr>
        <w:t>Plant Export Registered Establishment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Establishment Name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Peak Hill Grain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RE Number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RE-NSW-2021-0222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State / Territory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NSW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Property Address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12 Newell Highway, Peak Hill NSW 2869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Lot / Plan Reference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Lot 12 DP 758442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Registered Commodity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Wheat, Barley, Canola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Responsible Officer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James Holley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Total Property Area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4.8 ha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Plan Prepared Date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March 2025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Plan Version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Current</w:t>
            </w:r>
          </w:p>
        </w:tc>
      </w:tr>
    </w:tbl>
    <w:p/>
    <w:p>
      <w:pPr>
        <w:pStyle w:val="Heading1"/>
        <w:jc w:val="left"/>
      </w:pPr>
      <w:r>
        <w:rPr>
          <w:color w:val="1F497D"/>
        </w:rPr>
        <w:t>1.  REGISTERED EXPORT AREA</w:t>
      </w:r>
    </w:p>
    <w:p>
      <w:r>
        <w:rPr>
          <w:i/>
          <w:color w:val="444444"/>
          <w:sz w:val="18"/>
        </w:rPr>
        <w:t>Export Control (Plants and Plant Products) Rules 2021 s4-3(2)(a)</w:t>
      </w:r>
    </w:p>
    <w:p>
      <w:r>
        <w:rPr>
          <w:b w:val="0"/>
          <w:i w:val="0"/>
          <w:sz w:val="20"/>
        </w:rPr>
        <w:t>The registered export area comprises 3.2 ha, being the eastern portion of Lot 12 DP 758442. The boundary of the registered area is the perimeter of the security-fenced export precinct as shown on the plan. GPS coordinates at the four corners of the registered area are:</w:t>
        <w:br/>
        <w:t xml:space="preserve">  NE: 33°07′48″S  148°09′22″E</w:t>
        <w:br/>
        <w:t xml:space="preserve">  SE: 33°07′54″S  148°09′22″E</w:t>
        <w:br/>
        <w:t xml:space="preserve">  SW: 33°07′54″S  148°09′15″E</w:t>
        <w:br/>
        <w:t xml:space="preserve">  NW: 33°07′48″S  148°09′15″E</w:t>
        <w:br/>
        <w:t>Total registered area: 3.2 ha. The western 1.6 ha of the lot (residential dwelling and domestic garden) is excluded from the registered area and is separated by a 1.8 m chain-link security fence.</w:t>
      </w:r>
    </w:p>
    <w:p/>
    <w:p>
      <w:pPr>
        <w:pStyle w:val="Heading1"/>
        <w:jc w:val="left"/>
      </w:pPr>
      <w:r>
        <w:rPr>
          <w:color w:val="1F497D"/>
        </w:rPr>
        <w:t>2.  ADJOINING SITES AND SURROUNDING FEATURES</w:t>
      </w:r>
    </w:p>
    <w:p>
      <w:r>
        <w:rPr>
          <w:i/>
          <w:color w:val="444444"/>
          <w:sz w:val="18"/>
        </w:rPr>
        <w:t>Rules s4-3(2)(b) — Important features of the registered area and adjoining sites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1701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Direction</w:t>
            </w:r>
          </w:p>
        </w:tc>
        <w:tc>
          <w:tcPr>
            <w:tcW w:type="dxa" w:w="8220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Adjoining Feature / Land Use</w:t>
            </w:r>
          </w:p>
        </w:tc>
      </w:tr>
      <w:tr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sz w:val="18"/>
              </w:rPr>
              <w:t>North</w:t>
            </w:r>
          </w:p>
        </w:tc>
        <w:tc>
          <w:tcPr>
            <w:tcW w:type="dxa" w:w="8220"/>
            <w:shd w:val="clear" w:color="auto" w:fill="FFFFFF"/>
            <w:vAlign w:val="center"/>
          </w:tcPr>
          <w:p>
            <w:r>
              <w:rPr>
                <w:sz w:val="18"/>
              </w:rPr>
              <w:t>Newell Highway — gazetted B-double route; sealed bitumen; 10 m setback to nearest building</w:t>
            </w:r>
          </w:p>
        </w:tc>
      </w:tr>
      <w:tr>
        <w:tc>
          <w:tcPr>
            <w:tcW w:type="dxa" w:w="1701"/>
            <w:shd w:val="clear" w:color="auto" w:fill="F2F2F2"/>
            <w:vAlign w:val="center"/>
          </w:tcPr>
          <w:p>
            <w:r>
              <w:rPr>
                <w:sz w:val="18"/>
              </w:rPr>
              <w:t>East</w:t>
            </w:r>
          </w:p>
        </w:tc>
        <w:tc>
          <w:tcPr>
            <w:tcW w:type="dxa" w:w="8220"/>
            <w:shd w:val="clear" w:color="auto" w:fill="F2F2F2"/>
            <w:vAlign w:val="center"/>
          </w:tcPr>
          <w:p>
            <w:r>
              <w:rPr>
                <w:sz w:val="18"/>
              </w:rPr>
              <w:t>Parkes Shire Council rural land — unoccupied, grazing use; no shared structures</w:t>
            </w:r>
          </w:p>
        </w:tc>
      </w:tr>
      <w:tr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sz w:val="18"/>
              </w:rPr>
              <w:t>South</w:t>
            </w:r>
          </w:p>
        </w:tc>
        <w:tc>
          <w:tcPr>
            <w:tcW w:type="dxa" w:w="8220"/>
            <w:shd w:val="clear" w:color="auto" w:fill="FFFFFF"/>
            <w:vAlign w:val="center"/>
          </w:tcPr>
          <w:p>
            <w:r>
              <w:rPr>
                <w:sz w:val="18"/>
              </w:rPr>
              <w:t>Parkes Grain Cooperative — separately registered grain facility; no shared boundary fixtures</w:t>
            </w:r>
          </w:p>
        </w:tc>
      </w:tr>
      <w:tr>
        <w:tc>
          <w:tcPr>
            <w:tcW w:type="dxa" w:w="1701"/>
            <w:shd w:val="clear" w:color="auto" w:fill="F2F2F2"/>
            <w:vAlign w:val="center"/>
          </w:tcPr>
          <w:p>
            <w:r>
              <w:rPr>
                <w:sz w:val="18"/>
              </w:rPr>
              <w:t>West</w:t>
            </w:r>
          </w:p>
        </w:tc>
        <w:tc>
          <w:tcPr>
            <w:tcW w:type="dxa" w:w="8220"/>
            <w:shd w:val="clear" w:color="auto" w:fill="F2F2F2"/>
            <w:vAlign w:val="center"/>
          </w:tcPr>
          <w:p>
            <w:r>
              <w:rPr>
                <w:sz w:val="18"/>
              </w:rPr>
              <w:t>Residential allotment — excluded from RE by internal security fence; nearest dwelling 55 m</w:t>
            </w:r>
          </w:p>
        </w:tc>
      </w:tr>
    </w:tbl>
    <w:p/>
    <w:p>
      <w:pPr>
        <w:pStyle w:val="Heading1"/>
        <w:jc w:val="left"/>
      </w:pPr>
      <w:r>
        <w:rPr>
          <w:color w:val="1F497D"/>
        </w:rPr>
        <w:t>3.  BUILDINGS, STRUCTURES AND INFRASTRUCTURE</w:t>
      </w:r>
    </w:p>
    <w:p>
      <w:r>
        <w:rPr>
          <w:i/>
          <w:color w:val="444444"/>
          <w:sz w:val="18"/>
        </w:rPr>
        <w:t>Rules s4-2 — Buildings, equipment, facilities and services required for export operations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850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Code</w:t>
            </w:r>
          </w:p>
        </w:tc>
        <w:tc>
          <w:tcPr>
            <w:tcW w:type="dxa" w:w="3118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Building / Structure</w:t>
            </w:r>
          </w:p>
        </w:tc>
        <w:tc>
          <w:tcPr>
            <w:tcW w:type="dxa" w:w="1701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Dimensions</w:t>
            </w:r>
          </w:p>
        </w:tc>
        <w:tc>
          <w:tcPr>
            <w:tcW w:type="dxa" w:w="1984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Construction</w:t>
            </w:r>
          </w:p>
        </w:tc>
        <w:tc>
          <w:tcPr>
            <w:tcW w:type="dxa" w:w="2268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Location</w:t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r>
              <w:rPr>
                <w:sz w:val="18"/>
              </w:rPr>
              <w:t>WB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r>
              <w:rPr>
                <w:sz w:val="18"/>
              </w:rPr>
              <w:t>Weighbridge + Control Room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sz w:val="18"/>
              </w:rPr>
              <w:t>12 × 6 m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sz w:val="18"/>
              </w:rPr>
              <w:t>Steel portal, concrete floor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8"/>
              </w:rPr>
              <w:t>North entry — road access</w:t>
            </w:r>
          </w:p>
        </w:tc>
      </w:tr>
      <w:tr>
        <w:tc>
          <w:tcPr>
            <w:tcW w:type="dxa" w:w="850"/>
            <w:shd w:val="clear" w:color="auto" w:fill="F2F2F2"/>
            <w:vAlign w:val="center"/>
          </w:tcPr>
          <w:p>
            <w:r>
              <w:rPr>
                <w:sz w:val="18"/>
              </w:rPr>
              <w:t>RB</w:t>
            </w:r>
          </w:p>
        </w:tc>
        <w:tc>
          <w:tcPr>
            <w:tcW w:type="dxa" w:w="3118"/>
            <w:shd w:val="clear" w:color="auto" w:fill="F2F2F2"/>
            <w:vAlign w:val="center"/>
          </w:tcPr>
          <w:p>
            <w:r>
              <w:rPr>
                <w:sz w:val="18"/>
              </w:rPr>
              <w:t>Receival Building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r>
              <w:rPr>
                <w:sz w:val="18"/>
              </w:rPr>
              <w:t>24 × 18 m</w:t>
            </w:r>
          </w:p>
        </w:tc>
        <w:tc>
          <w:tcPr>
            <w:tcW w:type="dxa" w:w="1984"/>
            <w:shd w:val="clear" w:color="auto" w:fill="F2F2F2"/>
            <w:vAlign w:val="center"/>
          </w:tcPr>
          <w:p>
            <w:r>
              <w:rPr>
                <w:sz w:val="18"/>
              </w:rPr>
              <w:t>Steel portal, concrete floor</w:t>
            </w:r>
          </w:p>
        </w:tc>
        <w:tc>
          <w:tcPr>
            <w:tcW w:type="dxa" w:w="2268"/>
            <w:shd w:val="clear" w:color="auto" w:fill="F2F2F2"/>
            <w:vAlign w:val="center"/>
          </w:tcPr>
          <w:p>
            <w:r>
              <w:rPr>
                <w:sz w:val="18"/>
              </w:rPr>
              <w:t>Centre-north of RE area</w:t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r>
              <w:rPr>
                <w:sz w:val="18"/>
              </w:rPr>
              <w:t>S1–S4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r>
              <w:rPr>
                <w:sz w:val="18"/>
              </w:rPr>
              <w:t>Storage Silos ×4 (2,500 t each)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sz w:val="18"/>
              </w:rPr>
              <w:t>Dia. 12 m ea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sz w:val="18"/>
              </w:rPr>
              <w:t>Galvanised steel on concrete ring beams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8"/>
              </w:rPr>
              <w:t>Central-east cluster</w:t>
            </w:r>
          </w:p>
        </w:tc>
      </w:tr>
      <w:tr>
        <w:tc>
          <w:tcPr>
            <w:tcW w:type="dxa" w:w="850"/>
            <w:shd w:val="clear" w:color="auto" w:fill="F2F2F2"/>
            <w:vAlign w:val="center"/>
          </w:tcPr>
          <w:p>
            <w:r>
              <w:rPr>
                <w:sz w:val="18"/>
              </w:rPr>
              <w:t>PL</w:t>
            </w:r>
          </w:p>
        </w:tc>
        <w:tc>
          <w:tcPr>
            <w:tcW w:type="dxa" w:w="3118"/>
            <w:shd w:val="clear" w:color="auto" w:fill="F2F2F2"/>
            <w:vAlign w:val="center"/>
          </w:tcPr>
          <w:p>
            <w:r>
              <w:rPr>
                <w:sz w:val="18"/>
              </w:rPr>
              <w:t>Packing &amp; Load-Out Shed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r>
              <w:rPr>
                <w:sz w:val="18"/>
              </w:rPr>
              <w:t>30 × 20 m</w:t>
            </w:r>
          </w:p>
        </w:tc>
        <w:tc>
          <w:tcPr>
            <w:tcW w:type="dxa" w:w="1984"/>
            <w:shd w:val="clear" w:color="auto" w:fill="F2F2F2"/>
            <w:vAlign w:val="center"/>
          </w:tcPr>
          <w:p>
            <w:r>
              <w:rPr>
                <w:sz w:val="18"/>
              </w:rPr>
              <w:t>Tilt-up concrete</w:t>
            </w:r>
          </w:p>
        </w:tc>
        <w:tc>
          <w:tcPr>
            <w:tcW w:type="dxa" w:w="2268"/>
            <w:shd w:val="clear" w:color="auto" w:fill="F2F2F2"/>
            <w:vAlign w:val="center"/>
          </w:tcPr>
          <w:p>
            <w:r>
              <w:rPr>
                <w:sz w:val="18"/>
              </w:rPr>
              <w:t>South-east</w:t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r>
              <w:rPr>
                <w:sz w:val="18"/>
              </w:rPr>
              <w:t>CS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r>
              <w:rPr>
                <w:sz w:val="18"/>
              </w:rPr>
              <w:t>Chemical &amp; Lubricant Store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sz w:val="18"/>
              </w:rPr>
              <w:t>6 × 4 m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sz w:val="18"/>
              </w:rPr>
              <w:t>Steel, bunded concrete slab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8"/>
              </w:rPr>
              <w:t>South of PL, 15 m clearance</w:t>
            </w:r>
          </w:p>
        </w:tc>
      </w:tr>
      <w:tr>
        <w:tc>
          <w:tcPr>
            <w:tcW w:type="dxa" w:w="850"/>
            <w:shd w:val="clear" w:color="auto" w:fill="F2F2F2"/>
            <w:vAlign w:val="center"/>
          </w:tcPr>
          <w:p>
            <w:r>
              <w:rPr>
                <w:sz w:val="18"/>
              </w:rPr>
              <w:t>AM</w:t>
            </w:r>
          </w:p>
        </w:tc>
        <w:tc>
          <w:tcPr>
            <w:tcW w:type="dxa" w:w="3118"/>
            <w:shd w:val="clear" w:color="auto" w:fill="F2F2F2"/>
            <w:vAlign w:val="center"/>
          </w:tcPr>
          <w:p>
            <w:r>
              <w:rPr>
                <w:sz w:val="18"/>
              </w:rPr>
              <w:t>Amenities Block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r>
              <w:rPr>
                <w:sz w:val="18"/>
              </w:rPr>
              <w:t>8 × 5 m</w:t>
            </w:r>
          </w:p>
        </w:tc>
        <w:tc>
          <w:tcPr>
            <w:tcW w:type="dxa" w:w="1984"/>
            <w:shd w:val="clear" w:color="auto" w:fill="F2F2F2"/>
            <w:vAlign w:val="center"/>
          </w:tcPr>
          <w:p>
            <w:r>
              <w:rPr>
                <w:sz w:val="18"/>
              </w:rPr>
              <w:t>Brick, self-contained</w:t>
            </w:r>
          </w:p>
        </w:tc>
        <w:tc>
          <w:tcPr>
            <w:tcW w:type="dxa" w:w="2268"/>
            <w:shd w:val="clear" w:color="auto" w:fill="F2F2F2"/>
            <w:vAlign w:val="center"/>
          </w:tcPr>
          <w:p>
            <w:r>
              <w:rPr>
                <w:sz w:val="18"/>
              </w:rPr>
              <w:t>West side of RB</w:t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r>
              <w:rPr>
                <w:sz w:val="18"/>
              </w:rPr>
              <w:t>IB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r>
              <w:rPr>
                <w:sz w:val="18"/>
              </w:rPr>
              <w:t>DAFF Inspection Bay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sz w:val="18"/>
              </w:rPr>
              <w:t>8 × 6 m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sz w:val="18"/>
              </w:rPr>
              <w:t>Steel, enclosed, climate-controlled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8"/>
              </w:rPr>
              <w:t>Central corridor, between RB and PL</w:t>
            </w:r>
          </w:p>
        </w:tc>
      </w:tr>
      <w:tr>
        <w:tc>
          <w:tcPr>
            <w:tcW w:type="dxa" w:w="850"/>
            <w:shd w:val="clear" w:color="auto" w:fill="F2F2F2"/>
            <w:vAlign w:val="center"/>
          </w:tcPr>
          <w:p>
            <w:r>
              <w:rPr>
                <w:sz w:val="18"/>
              </w:rPr>
              <w:t>SP</w:t>
            </w:r>
          </w:p>
        </w:tc>
        <w:tc>
          <w:tcPr>
            <w:tcW w:type="dxa" w:w="3118"/>
            <w:shd w:val="clear" w:color="auto" w:fill="F2F2F2"/>
            <w:vAlign w:val="center"/>
          </w:tcPr>
          <w:p>
            <w:r>
              <w:rPr>
                <w:sz w:val="18"/>
              </w:rPr>
              <w:t>In-line Grain Belt Sampler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r>
              <w:rPr>
                <w:sz w:val="18"/>
              </w:rPr>
              <w:t>Fixed in-line</w:t>
            </w:r>
          </w:p>
        </w:tc>
        <w:tc>
          <w:tcPr>
            <w:tcW w:type="dxa" w:w="1984"/>
            <w:shd w:val="clear" w:color="auto" w:fill="F2F2F2"/>
            <w:vAlign w:val="center"/>
          </w:tcPr>
          <w:p>
            <w:r>
              <w:rPr>
                <w:sz w:val="18"/>
              </w:rPr>
              <w:t>Steel housing on receival conveyor</w:t>
            </w:r>
          </w:p>
        </w:tc>
        <w:tc>
          <w:tcPr>
            <w:tcW w:type="dxa" w:w="2268"/>
            <w:shd w:val="clear" w:color="auto" w:fill="F2F2F2"/>
            <w:vAlign w:val="center"/>
          </w:tcPr>
          <w:p>
            <w:r>
              <w:rPr>
                <w:sz w:val="18"/>
              </w:rPr>
              <w:t>RB — conveyor discharge point</w:t>
            </w:r>
          </w:p>
        </w:tc>
      </w:tr>
    </w:tbl>
    <w:p/>
    <w:p>
      <w:pPr>
        <w:pStyle w:val="Heading1"/>
        <w:jc w:val="left"/>
      </w:pPr>
      <w:r>
        <w:rPr>
          <w:color w:val="1F497D"/>
        </w:rPr>
        <w:t>4.  SERVICES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268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Service</w:t>
            </w:r>
          </w:p>
        </w:tc>
        <w:tc>
          <w:tcPr>
            <w:tcW w:type="dxa" w:w="7654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Description / Connection Details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8"/>
              </w:rPr>
              <w:t>Electricity</w:t>
            </w:r>
          </w:p>
        </w:tc>
        <w:tc>
          <w:tcPr>
            <w:tcW w:type="dxa" w:w="7654"/>
            <w:shd w:val="clear" w:color="auto" w:fill="FFFFFF"/>
            <w:vAlign w:val="center"/>
          </w:tcPr>
          <w:p>
            <w:r>
              <w:rPr>
                <w:sz w:val="18"/>
              </w:rPr>
              <w:t>Three-phase 415 V — Ausgrid connection at WB entry</w:t>
            </w:r>
          </w:p>
        </w:tc>
      </w:tr>
      <w:tr>
        <w:tc>
          <w:tcPr>
            <w:tcW w:type="dxa" w:w="2268"/>
            <w:shd w:val="clear" w:color="auto" w:fill="F2F2F2"/>
            <w:vAlign w:val="center"/>
          </w:tcPr>
          <w:p>
            <w:r>
              <w:rPr>
                <w:sz w:val="18"/>
              </w:rPr>
              <w:t>Water</w:t>
            </w:r>
          </w:p>
        </w:tc>
        <w:tc>
          <w:tcPr>
            <w:tcW w:type="dxa" w:w="7654"/>
            <w:shd w:val="clear" w:color="auto" w:fill="F2F2F2"/>
            <w:vAlign w:val="center"/>
          </w:tcPr>
          <w:p>
            <w:r>
              <w:rPr>
                <w:sz w:val="18"/>
              </w:rPr>
              <w:t>Mains water — 50 mm service from Newell Hwy main to AM and IB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8"/>
              </w:rPr>
              <w:t>Telecommunications</w:t>
            </w:r>
          </w:p>
        </w:tc>
        <w:tc>
          <w:tcPr>
            <w:tcW w:type="dxa" w:w="7654"/>
            <w:shd w:val="clear" w:color="auto" w:fill="FFFFFF"/>
            <w:vAlign w:val="center"/>
          </w:tcPr>
          <w:p>
            <w:r>
              <w:rPr>
                <w:sz w:val="18"/>
              </w:rPr>
              <w:t>NBN fixed line + mobile backup at WB control room</w:t>
            </w:r>
          </w:p>
        </w:tc>
      </w:tr>
      <w:tr>
        <w:tc>
          <w:tcPr>
            <w:tcW w:type="dxa" w:w="2268"/>
            <w:shd w:val="clear" w:color="auto" w:fill="F2F2F2"/>
            <w:vAlign w:val="center"/>
          </w:tcPr>
          <w:p>
            <w:r>
              <w:rPr>
                <w:sz w:val="18"/>
              </w:rPr>
              <w:t>Sewerage</w:t>
            </w:r>
          </w:p>
        </w:tc>
        <w:tc>
          <w:tcPr>
            <w:tcW w:type="dxa" w:w="7654"/>
            <w:shd w:val="clear" w:color="auto" w:fill="F2F2F2"/>
            <w:vAlign w:val="center"/>
          </w:tcPr>
          <w:p>
            <w:r>
              <w:rPr>
                <w:sz w:val="18"/>
              </w:rPr>
              <w:t>Septic system EPA EP 2019-0041 — serves AM block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8"/>
              </w:rPr>
              <w:t>Stormwater</w:t>
            </w:r>
          </w:p>
        </w:tc>
        <w:tc>
          <w:tcPr>
            <w:tcW w:type="dxa" w:w="7654"/>
            <w:shd w:val="clear" w:color="auto" w:fill="FFFFFF"/>
            <w:vAlign w:val="center"/>
          </w:tcPr>
          <w:p>
            <w:r>
              <w:rPr>
                <w:sz w:val="18"/>
              </w:rPr>
              <w:t>Graded hardstand to perimeter drains; retention basin SE corner</w:t>
            </w:r>
          </w:p>
        </w:tc>
      </w:tr>
      <w:tr>
        <w:tc>
          <w:tcPr>
            <w:tcW w:type="dxa" w:w="2268"/>
            <w:shd w:val="clear" w:color="auto" w:fill="F2F2F2"/>
            <w:vAlign w:val="center"/>
          </w:tcPr>
          <w:p>
            <w:r>
              <w:rPr>
                <w:sz w:val="18"/>
              </w:rPr>
              <w:t>Security</w:t>
            </w:r>
          </w:p>
        </w:tc>
        <w:tc>
          <w:tcPr>
            <w:tcW w:type="dxa" w:w="7654"/>
            <w:shd w:val="clear" w:color="auto" w:fill="F2F2F2"/>
            <w:vAlign w:val="center"/>
          </w:tcPr>
          <w:p>
            <w:r>
              <w:rPr>
                <w:sz w:val="18"/>
              </w:rPr>
              <w:t>CCTV ×8, boom gate at entry, perimeter LED lighting</w:t>
            </w:r>
          </w:p>
        </w:tc>
      </w:tr>
    </w:tbl>
    <w:p/>
    <w:p>
      <w:pPr>
        <w:pStyle w:val="Heading1"/>
        <w:jc w:val="left"/>
      </w:pPr>
      <w:r>
        <w:rPr>
          <w:color w:val="1F497D"/>
        </w:rPr>
        <w:t>5.  EXPORT OPERATIONS LAYOUT</w:t>
      </w:r>
    </w:p>
    <w:p>
      <w:r>
        <w:rPr>
          <w:i/>
          <w:color w:val="444444"/>
          <w:sz w:val="18"/>
        </w:rPr>
        <w:t>Rules s4-3(2)(c) — Layout of areas where export operations occur, permanent fixtures and equipment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551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Operation</w:t>
            </w:r>
          </w:p>
        </w:tc>
        <w:tc>
          <w:tcPr>
            <w:tcW w:type="dxa" w:w="7370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Description and Location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r>
              <w:rPr>
                <w:sz w:val="18"/>
              </w:rPr>
              <w:t>1. Receival</w:t>
            </w:r>
          </w:p>
        </w:tc>
        <w:tc>
          <w:tcPr>
            <w:tcW w:type="dxa" w:w="7370"/>
            <w:shd w:val="clear" w:color="auto" w:fill="FFFFFF"/>
            <w:vAlign w:val="center"/>
          </w:tcPr>
          <w:p>
            <w:r>
              <w:rPr>
                <w:sz w:val="18"/>
              </w:rPr>
              <w:t>Trucks enter via WB (north entry), weighed, discharge into receival pit in RB</w:t>
            </w:r>
          </w:p>
        </w:tc>
      </w:tr>
      <w:tr>
        <w:tc>
          <w:tcPr>
            <w:tcW w:type="dxa" w:w="2551"/>
            <w:shd w:val="clear" w:color="auto" w:fill="F2F2F2"/>
            <w:vAlign w:val="center"/>
          </w:tcPr>
          <w:p>
            <w:r>
              <w:rPr>
                <w:sz w:val="18"/>
              </w:rPr>
              <w:t>2. Cleaning</w:t>
            </w:r>
          </w:p>
        </w:tc>
        <w:tc>
          <w:tcPr>
            <w:tcW w:type="dxa" w:w="7370"/>
            <w:shd w:val="clear" w:color="auto" w:fill="F2F2F2"/>
            <w:vAlign w:val="center"/>
          </w:tcPr>
          <w:p>
            <w:r>
              <w:rPr>
                <w:sz w:val="18"/>
              </w:rPr>
              <w:t>RB — rotary screen cleaner removes trash; aspirator removes dust and light material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r>
              <w:rPr>
                <w:sz w:val="18"/>
              </w:rPr>
              <w:t>3. Sampling</w:t>
            </w:r>
          </w:p>
        </w:tc>
        <w:tc>
          <w:tcPr>
            <w:tcW w:type="dxa" w:w="7370"/>
            <w:shd w:val="clear" w:color="auto" w:fill="FFFFFF"/>
            <w:vAlign w:val="center"/>
          </w:tcPr>
          <w:p>
            <w:r>
              <w:rPr>
                <w:sz w:val="18"/>
              </w:rPr>
              <w:t>In-line belt sampler (SP) at RB conveyor discharge — automatic composite sample diverted to IB</w:t>
            </w:r>
          </w:p>
        </w:tc>
      </w:tr>
      <w:tr>
        <w:tc>
          <w:tcPr>
            <w:tcW w:type="dxa" w:w="2551"/>
            <w:shd w:val="clear" w:color="auto" w:fill="F2F2F2"/>
            <w:vAlign w:val="center"/>
          </w:tcPr>
          <w:p>
            <w:r>
              <w:rPr>
                <w:sz w:val="18"/>
              </w:rPr>
              <w:t>4. Transfer to storage</w:t>
            </w:r>
          </w:p>
        </w:tc>
        <w:tc>
          <w:tcPr>
            <w:tcW w:type="dxa" w:w="7370"/>
            <w:shd w:val="clear" w:color="auto" w:fill="F2F2F2"/>
            <w:vAlign w:val="center"/>
          </w:tcPr>
          <w:p>
            <w:r>
              <w:rPr>
                <w:sz w:val="18"/>
              </w:rPr>
              <w:t>Sealed belt conveyor (below slab run): RB → S1–S4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r>
              <w:rPr>
                <w:sz w:val="18"/>
              </w:rPr>
              <w:t>5. Drying/conditioning</w:t>
            </w:r>
          </w:p>
        </w:tc>
        <w:tc>
          <w:tcPr>
            <w:tcW w:type="dxa" w:w="7370"/>
            <w:shd w:val="clear" w:color="auto" w:fill="FFFFFF"/>
            <w:vAlign w:val="center"/>
          </w:tcPr>
          <w:p>
            <w:r>
              <w:rPr>
                <w:sz w:val="18"/>
              </w:rPr>
              <w:t>Continuous-flow gas dryer (south wall of RB) — grain recirculated via bucket elevator</w:t>
            </w:r>
          </w:p>
        </w:tc>
      </w:tr>
      <w:tr>
        <w:tc>
          <w:tcPr>
            <w:tcW w:type="dxa" w:w="2551"/>
            <w:shd w:val="clear" w:color="auto" w:fill="F2F2F2"/>
            <w:vAlign w:val="center"/>
          </w:tcPr>
          <w:p>
            <w:r>
              <w:rPr>
                <w:sz w:val="18"/>
              </w:rPr>
              <w:t>6. Inspection (DAFF)</w:t>
            </w:r>
          </w:p>
        </w:tc>
        <w:tc>
          <w:tcPr>
            <w:tcW w:type="dxa" w:w="7370"/>
            <w:shd w:val="clear" w:color="auto" w:fill="F2F2F2"/>
            <w:vAlign w:val="center"/>
          </w:tcPr>
          <w:p>
            <w:r>
              <w:rPr>
                <w:sz w:val="18"/>
              </w:rPr>
              <w:t>IB — Authorised Officer receives composite sample at bench; NIR analysis; sample archived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r>
              <w:rPr>
                <w:sz w:val="18"/>
              </w:rPr>
              <w:t>7. Load-out</w:t>
            </w:r>
          </w:p>
        </w:tc>
        <w:tc>
          <w:tcPr>
            <w:tcW w:type="dxa" w:w="7370"/>
            <w:shd w:val="clear" w:color="auto" w:fill="FFFFFF"/>
            <w:vAlign w:val="center"/>
          </w:tcPr>
          <w:p>
            <w:r>
              <w:rPr>
                <w:sz w:val="18"/>
              </w:rPr>
              <w:t>Gravity-fed from S3/S4 via auger bridge → PL bulk load-out spout or 25 kg bag filler</w:t>
            </w:r>
          </w:p>
        </w:tc>
      </w:tr>
      <w:tr>
        <w:tc>
          <w:tcPr>
            <w:tcW w:type="dxa" w:w="2551"/>
            <w:shd w:val="clear" w:color="auto" w:fill="F2F2F2"/>
            <w:vAlign w:val="center"/>
          </w:tcPr>
          <w:p>
            <w:r>
              <w:rPr>
                <w:sz w:val="18"/>
              </w:rPr>
              <w:t>8. Export dispatch</w:t>
            </w:r>
          </w:p>
        </w:tc>
        <w:tc>
          <w:tcPr>
            <w:tcW w:type="dxa" w:w="7370"/>
            <w:shd w:val="clear" w:color="auto" w:fill="F2F2F2"/>
            <w:vAlign w:val="center"/>
          </w:tcPr>
          <w:p>
            <w:r>
              <w:rPr>
                <w:sz w:val="18"/>
              </w:rPr>
              <w:t>Bulk B-doubles or containers — exit via south gate; two simultaneous load-out bays</w:t>
            </w:r>
          </w:p>
        </w:tc>
      </w:tr>
    </w:tbl>
    <w:p/>
    <w:p>
      <w:pPr>
        <w:pStyle w:val="Heading1"/>
        <w:jc w:val="left"/>
      </w:pPr>
      <w:r>
        <w:rPr>
          <w:color w:val="1F497D"/>
        </w:rPr>
        <w:t>6.  SCHEMATIC SITE PLAN</w:t>
      </w:r>
    </w:p>
    <w:p>
      <w:r>
        <w:rPr>
          <w:i/>
          <w:color w:val="444444"/>
          <w:sz w:val="18"/>
        </w:rPr>
        <w:t>Schematic representation. Full-scale engineering drawing maintained on file.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354"/>
            <w:shd w:val="clear" w:color="auto" w:fill="F8F8F8"/>
          </w:tcPr>
          <w:p>
            <w:r>
              <w:rPr>
                <w:rFonts w:ascii="Courier New" w:hAnsi="Courier New"/>
                <w:sz w:val="14"/>
              </w:rPr>
              <w:t>┌────────────────────────────────────────────────────────────────────┐</w:t>
            </w:r>
          </w:p>
          <w:p>
            <w:r>
              <w:rPr>
                <w:rFonts w:ascii="Courier New" w:hAnsi="Courier New"/>
                <w:sz w:val="14"/>
              </w:rPr>
              <w:t>│        SUNRIDGE GRAIN STORAGE — SITE PLAN SCHEMATIC               │</w:t>
            </w:r>
          </w:p>
          <w:p>
            <w:r>
              <w:rPr>
                <w:rFonts w:ascii="Courier New" w:hAnsi="Courier New"/>
                <w:sz w:val="14"/>
              </w:rPr>
              <w:t>│  RE-NSW-2019-0312   Registered Export Area: 3.2 ha                │</w:t>
            </w:r>
          </w:p>
          <w:p>
            <w:r>
              <w:rPr>
                <w:rFonts w:ascii="Courier New" w:hAnsi="Courier New"/>
                <w:sz w:val="14"/>
              </w:rPr>
              <w:t>├────────────────────────────────────────────────────────────────────┤</w:t>
            </w:r>
          </w:p>
          <w:p>
            <w:r>
              <w:rPr>
                <w:rFonts w:ascii="Courier New" w:hAnsi="Courier New"/>
                <w:sz w:val="14"/>
              </w:rPr>
              <w:t>│  ◄─────────── NEWELL HIGHWAY (NORTH) ───────────────────►         │</w:t>
            </w:r>
          </w:p>
          <w:p>
            <w:r>
              <w:rPr>
                <w:rFonts w:ascii="Courier New" w:hAnsi="Courier New"/>
                <w:sz w:val="14"/>
              </w:rPr>
              <w:t>│  ╔══════════════════════════════════════════════════════╗          │</w:t>
            </w:r>
          </w:p>
          <w:p>
            <w:r>
              <w:rPr>
                <w:rFonts w:ascii="Courier New" w:hAnsi="Courier New"/>
                <w:sz w:val="14"/>
              </w:rPr>
              <w:t>│  ║  REGISTERED EXPORT AREA  3.2 ha  (security fence)   ║          │</w:t>
            </w:r>
          </w:p>
          <w:p>
            <w:r>
              <w:rPr>
                <w:rFonts w:ascii="Courier New" w:hAnsi="Courier New"/>
                <w:sz w:val="14"/>
              </w:rPr>
              <w:t>│  ║                                                      ║          │</w:t>
            </w:r>
          </w:p>
          <w:p>
            <w:r>
              <w:rPr>
                <w:rFonts w:ascii="Courier New" w:hAnsi="Courier New"/>
                <w:sz w:val="14"/>
              </w:rPr>
              <w:t>│  ║  [WB] Weighbridge 12×6m   [RB] Receival 24×18m      ║          │</w:t>
            </w:r>
          </w:p>
          <w:p>
            <w:r>
              <w:rPr>
                <w:rFonts w:ascii="Courier New" w:hAnsi="Courier New"/>
                <w:sz w:val="14"/>
              </w:rPr>
              <w:t>│  ║   ▼ truck entry              ▼ receival pit          ║          │</w:t>
            </w:r>
          </w:p>
          <w:p>
            <w:r>
              <w:rPr>
                <w:rFonts w:ascii="Courier New" w:hAnsi="Courier New"/>
                <w:sz w:val="14"/>
              </w:rPr>
              <w:t>│  ║   [AM] Amenities     ═══ belt conveyor ═══►          ║          │</w:t>
            </w:r>
          </w:p>
          <w:p>
            <w:r>
              <w:rPr>
                <w:rFonts w:ascii="Courier New" w:hAnsi="Courier New"/>
                <w:sz w:val="14"/>
              </w:rPr>
              <w:t>│  ║                   [S1][S2][S3][S4] Silos             ║          │</w:t>
            </w:r>
          </w:p>
          <w:p>
            <w:r>
              <w:rPr>
                <w:rFonts w:ascii="Courier New" w:hAnsi="Courier New"/>
                <w:sz w:val="14"/>
              </w:rPr>
              <w:t>│  ║                    dia.12m each  (2,500t ea)         ║          │</w:t>
            </w:r>
          </w:p>
          <w:p>
            <w:r>
              <w:rPr>
                <w:rFonts w:ascii="Courier New" w:hAnsi="Courier New"/>
                <w:sz w:val="14"/>
              </w:rPr>
              <w:t>│  ║   ◄── [SP] In-line Sampler                           ║          │</w:t>
            </w:r>
          </w:p>
          <w:p>
            <w:r>
              <w:rPr>
                <w:rFonts w:ascii="Courier New" w:hAnsi="Courier New"/>
                <w:sz w:val="14"/>
              </w:rPr>
              <w:t>│  ║   [IB] DAFF Inspection Bay 8×6m                      ║          │</w:t>
            </w:r>
          </w:p>
          <w:p>
            <w:r>
              <w:rPr>
                <w:rFonts w:ascii="Courier New" w:hAnsi="Courier New"/>
                <w:sz w:val="14"/>
              </w:rPr>
              <w:t>│  ║        bench · NIR · sampler feed · handwash         ║          │</w:t>
            </w:r>
          </w:p>
          <w:p>
            <w:r>
              <w:rPr>
                <w:rFonts w:ascii="Courier New" w:hAnsi="Courier New"/>
                <w:sz w:val="14"/>
              </w:rPr>
              <w:t>│  ║                   ▼ auger bridge                     ║          │</w:t>
            </w:r>
          </w:p>
          <w:p>
            <w:r>
              <w:rPr>
                <w:rFonts w:ascii="Courier New" w:hAnsi="Courier New"/>
                <w:sz w:val="14"/>
              </w:rPr>
              <w:t>│  ║   [PL] Packing &amp; Load-Out Shed  30×20m               ║          │</w:t>
            </w:r>
          </w:p>
          <w:p>
            <w:r>
              <w:rPr>
                <w:rFonts w:ascii="Courier New" w:hAnsi="Courier New"/>
                <w:sz w:val="14"/>
              </w:rPr>
              <w:t>│  ║        bulk spout · bag filler · 2 bays              ║          │</w:t>
            </w:r>
          </w:p>
          <w:p>
            <w:r>
              <w:rPr>
                <w:rFonts w:ascii="Courier New" w:hAnsi="Courier New"/>
                <w:sz w:val="14"/>
              </w:rPr>
              <w:t>│  ║   [CS] Chemical Store 6×4m  (15m from PL)            ║          │</w:t>
            </w:r>
          </w:p>
          <w:p>
            <w:r>
              <w:rPr>
                <w:rFonts w:ascii="Courier New" w:hAnsi="Courier New"/>
                <w:sz w:val="14"/>
              </w:rPr>
              <w:t>│  ╚══════════════════════════════════════════════════════╝          │</w:t>
            </w:r>
          </w:p>
          <w:p>
            <w:r>
              <w:rPr>
                <w:rFonts w:ascii="Courier New" w:hAnsi="Courier New"/>
                <w:sz w:val="14"/>
              </w:rPr>
              <w:t>│  ◄── PARKES GRAIN CO-OP (SOUTH) ────────────────────────►         │</w:t>
            </w:r>
          </w:p>
          <w:p>
            <w:r>
              <w:rPr>
                <w:rFonts w:ascii="Courier New" w:hAnsi="Courier New"/>
                <w:sz w:val="14"/>
              </w:rPr>
              <w:t>├────────────────────────────────────────────────────────────────────┤</w:t>
            </w:r>
          </w:p>
          <w:p>
            <w:r>
              <w:rPr>
                <w:rFonts w:ascii="Courier New" w:hAnsi="Courier New"/>
                <w:sz w:val="14"/>
              </w:rPr>
              <w:t>│ LEGEND: WB=Weighbridge  RB=Receival  S1-S4=Silos  PL=Pack/Load   │</w:t>
            </w:r>
          </w:p>
          <w:p>
            <w:r>
              <w:rPr>
                <w:rFonts w:ascii="Courier New" w:hAnsi="Courier New"/>
                <w:sz w:val="14"/>
              </w:rPr>
              <w:t>│         IB=Inspection Bay  CS=Chem Store  SP=Sample Point  AM=WC  │</w:t>
            </w:r>
          </w:p>
          <w:p>
            <w:r>
              <w:rPr>
                <w:rFonts w:ascii="Courier New" w:hAnsi="Courier New"/>
                <w:sz w:val="14"/>
              </w:rPr>
              <w:t>│         ═══►=conveyor  ▼=flow direction  ╔╗=RE boundary fence     │</w:t>
            </w:r>
          </w:p>
          <w:p>
            <w:r>
              <w:rPr>
                <w:rFonts w:ascii="Courier New" w:hAnsi="Courier New"/>
                <w:sz w:val="14"/>
              </w:rPr>
              <w:t>└────────────────────────────────────────────────────────────────────┘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/>
    <w:p>
      <w:pPr>
        <w:pStyle w:val="Heading1"/>
        <w:jc w:val="left"/>
      </w:pPr>
      <w:r>
        <w:rPr>
          <w:color w:val="1F497D"/>
        </w:rPr>
        <w:t>7.  DAFF INSPECTION AND SAMPLING AREA</w:t>
      </w:r>
    </w:p>
    <w:p>
      <w:r>
        <w:rPr>
          <w:i/>
          <w:color w:val="444444"/>
          <w:sz w:val="18"/>
        </w:rPr>
        <w:t>Rules s4-2(5) — Inspection areas and facilities for Authorised Officer use</w:t>
      </w:r>
    </w:p>
    <w:p>
      <w:r>
        <w:rPr>
          <w:b w:val="0"/>
          <w:i w:val="0"/>
          <w:sz w:val="20"/>
        </w:rPr>
        <w:t>DAFF Inspection Bay (IB) — 8 × 6 m enclosed, climate-controlled room dedicated to DAFF Authorised Officer use. Located in the central corridor between RB and PL with direct connection to the in-line belt sampler chute.</w:t>
        <w:br/>
        <w:br/>
        <w:t>Fittings: stainless-steel inspection bench 2.4 × 0.9 m; overhead LED task lighting 600 lux at bench surface; handwash basin (hot/cold, liquid soap, paper towels); grain moisture/protein analyser (NIR); grain probe set; sample bags and pre-printed labels; sample refrigerator 4°C 60 L; lockable sample storage cabinet; DAFF portal tablet terminal. External entry door with keypad — DAFF officer access without traversing production floor.</w:t>
      </w:r>
    </w:p>
    <w:p/>
    <w:p>
      <w:pPr>
        <w:pStyle w:val="Heading1"/>
        <w:jc w:val="left"/>
      </w:pPr>
      <w:r>
        <w:rPr>
          <w:color w:val="1F497D"/>
        </w:rPr>
        <w:t>8.  AUTHORISATION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Prepared By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James Holley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Position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Establishment Manager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Date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March 2025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Signature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Next Review Date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April 2026</w:t>
            </w:r>
          </w:p>
        </w:tc>
      </w:tr>
    </w:tbl>
    <w:sectPr w:rsidR="00FC693F" w:rsidRPr="0006063C" w:rsidSect="00034616">
      <w:pgSz w:w="11906" w:h="16838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