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Peak Hill Grain</w:t>
            </w:r>
          </w:p>
        </w:tc>
      </w:tr>
      <w:tr>
        <w:tc>
          <w:tcPr>
            <w:tcW w:type="dxa" w:w="4536"/>
            <w:shd w:val="clear" w:color="auto" w:fill="1F497D"/>
            <w:vAlign w:val="center"/>
          </w:tcPr>
          <w:p>
            <w:r>
              <w:rPr>
                <w:b/>
                <w:color w:val="FFFFFF"/>
                <w:sz w:val="18"/>
              </w:rPr>
              <w:t>RE Number</w:t>
            </w:r>
          </w:p>
        </w:tc>
        <w:tc>
          <w:tcPr>
            <w:tcW w:type="dxa" w:w="4536"/>
          </w:tcPr>
          <w:p>
            <w:r>
              <w:rPr>
                <w:sz w:val="18"/>
              </w:rPr>
              <w:t>RE-NSW-2021-0222</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12 Newell Highway, Peak Hill NSW 2869</w:t>
            </w:r>
          </w:p>
        </w:tc>
      </w:tr>
      <w:tr>
        <w:tc>
          <w:tcPr>
            <w:tcW w:type="dxa" w:w="4536"/>
            <w:shd w:val="clear" w:color="auto" w:fill="1F497D"/>
            <w:vAlign w:val="center"/>
          </w:tcPr>
          <w:p>
            <w:r>
              <w:rPr>
                <w:b/>
                <w:color w:val="FFFFFF"/>
                <w:sz w:val="18"/>
              </w:rPr>
              <w:t>Registered Commodity</w:t>
            </w:r>
          </w:p>
        </w:tc>
        <w:tc>
          <w:tcPr>
            <w:tcW w:type="dxa" w:w="4536"/>
          </w:tcPr>
          <w:p>
            <w:r>
              <w:rPr>
                <w:sz w:val="18"/>
              </w:rPr>
              <w:t>Cotton</w:t>
            </w:r>
          </w:p>
        </w:tc>
      </w:tr>
      <w:tr>
        <w:tc>
          <w:tcPr>
            <w:tcW w:type="dxa" w:w="4536"/>
            <w:shd w:val="clear" w:color="auto" w:fill="1F497D"/>
            <w:vAlign w:val="center"/>
          </w:tcPr>
          <w:p>
            <w:r>
              <w:rPr>
                <w:b/>
                <w:color w:val="FFFFFF"/>
                <w:sz w:val="18"/>
              </w:rPr>
              <w:t>Operation Type</w:t>
            </w:r>
          </w:p>
        </w:tc>
        <w:tc>
          <w:tcPr>
            <w:tcW w:type="dxa" w:w="4536"/>
          </w:tcPr>
          <w:p>
            <w:r>
              <w:rPr>
                <w:sz w:val="18"/>
              </w:rPr>
              <w:t>Specialty</w:t>
            </w:r>
          </w:p>
        </w:tc>
      </w:tr>
      <w:tr>
        <w:tc>
          <w:tcPr>
            <w:tcW w:type="dxa" w:w="4536"/>
            <w:shd w:val="clear" w:color="auto" w:fill="1F497D"/>
            <w:vAlign w:val="center"/>
          </w:tcPr>
          <w:p>
            <w:r>
              <w:rPr>
                <w:b/>
                <w:color w:val="FFFFFF"/>
                <w:sz w:val="18"/>
              </w:rPr>
              <w:t>Responsible Officer</w:t>
            </w:r>
          </w:p>
        </w:tc>
        <w:tc>
          <w:tcPr>
            <w:tcW w:type="dxa" w:w="4536"/>
          </w:tcPr>
          <w:p>
            <w:r>
              <w:rPr>
                <w:sz w:val="18"/>
              </w:rPr>
              <w:t>Phil Donaldson</w:t>
            </w:r>
          </w:p>
        </w:tc>
      </w:tr>
      <w:tr>
        <w:tc>
          <w:tcPr>
            <w:tcW w:type="dxa" w:w="4536"/>
            <w:shd w:val="clear" w:color="auto" w:fill="1F497D"/>
            <w:vAlign w:val="center"/>
          </w:tcPr>
          <w:p>
            <w:r>
              <w:rPr>
                <w:b/>
                <w:color w:val="FFFFFF"/>
                <w:sz w:val="18"/>
              </w:rPr>
              <w:t>Property Area</w:t>
            </w:r>
          </w:p>
        </w:tc>
        <w:tc>
          <w:tcPr>
            <w:tcW w:type="dxa" w:w="4536"/>
          </w:tcPr>
          <w:p>
            <w:r>
              <w:rPr>
                <w:sz w:val="18"/>
              </w:rPr>
              <w:t>5000.0 ha</w:t>
            </w:r>
          </w:p>
        </w:tc>
      </w:tr>
      <w:tr>
        <w:tc>
          <w:tcPr>
            <w:tcW w:type="dxa" w:w="4536"/>
            <w:shd w:val="clear" w:color="auto" w:fill="1F497D"/>
            <w:vAlign w:val="center"/>
          </w:tcPr>
          <w:p>
            <w:r>
              <w:rPr>
                <w:b/>
                <w:color w:val="FFFFFF"/>
                <w:sz w:val="18"/>
              </w:rPr>
              <w:t>Document Version</w:t>
            </w:r>
          </w:p>
        </w:tc>
        <w:tc>
          <w:tcPr>
            <w:tcW w:type="dxa" w:w="4536"/>
          </w:tcPr>
          <w:p>
            <w:r>
              <w:rPr>
                <w:sz w:val="18"/>
              </w:rPr>
              <w:t>3.5</w:t>
            </w:r>
          </w:p>
        </w:tc>
      </w:tr>
      <w:tr>
        <w:tc>
          <w:tcPr>
            <w:tcW w:type="dxa" w:w="4536"/>
            <w:shd w:val="clear" w:color="auto" w:fill="1F497D"/>
            <w:vAlign w:val="center"/>
          </w:tcPr>
          <w:p>
            <w:r>
              <w:rPr>
                <w:b/>
                <w:color w:val="FFFFFF"/>
                <w:sz w:val="18"/>
              </w:rPr>
              <w:t>Plan Date</w:t>
            </w:r>
          </w:p>
        </w:tc>
        <w:tc>
          <w:tcPr>
            <w:tcW w:type="dxa" w:w="4536"/>
          </w:tcPr>
          <w:p>
            <w:r>
              <w:rPr>
                <w:sz w:val="18"/>
              </w:rPr>
              <w:t>14 May 2025</w:t>
            </w:r>
          </w:p>
        </w:tc>
      </w:tr>
      <w:tr>
        <w:tc>
          <w:tcPr>
            <w:tcW w:type="dxa" w:w="4536"/>
            <w:shd w:val="clear" w:color="auto" w:fill="1F497D"/>
            <w:vAlign w:val="center"/>
          </w:tcPr>
          <w:p>
            <w:r>
              <w:rPr>
                <w:b/>
                <w:color w:val="FFFFFF"/>
                <w:sz w:val="18"/>
              </w:rPr>
              <w:t>Next Review</w:t>
            </w:r>
          </w:p>
        </w:tc>
        <w:tc>
          <w:tcPr>
            <w:tcW w:type="dxa" w:w="4536"/>
          </w:tcPr>
          <w:p>
            <w:r>
              <w:rPr>
                <w:sz w:val="18"/>
              </w:rPr>
              <w:t>14 May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Peak Hill Grain used in specialty crop processing and export preparation for Cotton.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Cotton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Phil Donaldson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Area</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product debris, packaging material. Sweep or vacuum floor and equipment.</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record</w:t>
            </w:r>
          </w:p>
        </w:tc>
      </w:tr>
      <w:tr>
        <w:tc>
          <w:tcPr>
            <w:tcW w:type="dxa" w:w="1512"/>
            <w:shd w:val="clear" w:color="auto" w:fill="F2F2F2"/>
            <w:vAlign w:val="top"/>
            <w:tcW w:w="2154" w:type="dxa"/>
          </w:tcPr>
          <w:p>
            <w:r>
              <w:rPr>
                <w:sz w:val="18"/>
              </w:rPr>
              <w:t>Processing Equipment / Line</w:t>
            </w:r>
          </w:p>
        </w:tc>
        <w:tc>
          <w:tcPr>
            <w:tcW w:type="dxa" w:w="1512"/>
            <w:shd w:val="clear" w:color="auto" w:fill="F2F2F2"/>
            <w:vAlign w:val="top"/>
            <w:tcW w:w="1417" w:type="dxa"/>
          </w:tcPr>
          <w:p>
            <w:r>
              <w:rPr>
                <w:sz w:val="18"/>
              </w:rPr>
              <w:t>After each production run</w:t>
            </w:r>
          </w:p>
        </w:tc>
        <w:tc>
          <w:tcPr>
            <w:tcW w:type="dxa" w:w="1512"/>
            <w:shd w:val="clear" w:color="auto" w:fill="F2F2F2"/>
            <w:vAlign w:val="top"/>
            <w:tcW w:w="3118" w:type="dxa"/>
          </w:tcPr>
          <w:p>
            <w:r>
              <w:rPr>
                <w:sz w:val="18"/>
              </w:rPr>
              <w:t>Clean rollers, screens, belts. Remove product residue from all contact surfaces.</w:t>
            </w:r>
          </w:p>
        </w:tc>
        <w:tc>
          <w:tcPr>
            <w:tcW w:type="dxa" w:w="1512"/>
            <w:shd w:val="clear" w:color="auto" w:fill="F2F2F2"/>
            <w:vAlign w:val="top"/>
            <w:tcW w:w="1814" w:type="dxa"/>
          </w:tcPr>
          <w:p>
            <w:r>
              <w:rPr>
                <w:sz w:val="18"/>
              </w:rPr>
              <w:t>ProClean 200 (1:50) or BioDegreaser FD (1:25)</w:t>
            </w:r>
          </w:p>
        </w:tc>
        <w:tc>
          <w:tcPr>
            <w:tcW w:type="dxa" w:w="1512"/>
            <w:shd w:val="clear" w:color="auto" w:fill="F2F2F2"/>
            <w:vAlign w:val="top"/>
            <w:tcW w:w="1587" w:type="dxa"/>
          </w:tcPr>
          <w:p>
            <w:r>
              <w:rPr>
                <w:sz w:val="18"/>
              </w:rPr>
              <w:t>Processing Operator</w:t>
            </w:r>
          </w:p>
        </w:tc>
        <w:tc>
          <w:tcPr>
            <w:tcW w:type="dxa" w:w="1512"/>
            <w:shd w:val="clear" w:color="auto" w:fill="F2F2F2"/>
            <w:vAlign w:val="top"/>
            <w:tcW w:w="1530" w:type="dxa"/>
          </w:tcPr>
          <w:p>
            <w:r>
              <w:rPr>
                <w:sz w:val="18"/>
              </w:rPr>
              <w:t>Equipment log</w:t>
            </w:r>
          </w:p>
        </w:tc>
      </w:tr>
      <w:tr>
        <w:tc>
          <w:tcPr>
            <w:tcW w:type="dxa" w:w="1512"/>
            <w:shd w:val="clear" w:color="auto" w:fill="FFFFFF"/>
            <w:vAlign w:val="top"/>
            <w:tcW w:w="2154" w:type="dxa"/>
          </w:tcPr>
          <w:p>
            <w:r>
              <w:rPr>
                <w:sz w:val="18"/>
              </w:rPr>
              <w:t>Drying / Conditioning Area</w:t>
            </w:r>
          </w:p>
        </w:tc>
        <w:tc>
          <w:tcPr>
            <w:tcW w:type="dxa" w:w="1512"/>
            <w:shd w:val="clear" w:color="auto" w:fill="FFFFFF"/>
            <w:vAlign w:val="top"/>
            <w:tcW w:w="1417" w:type="dxa"/>
          </w:tcPr>
          <w:p>
            <w:r>
              <w:rPr>
                <w:sz w:val="18"/>
              </w:rPr>
              <w:t>After each cycle</w:t>
            </w:r>
          </w:p>
        </w:tc>
        <w:tc>
          <w:tcPr>
            <w:tcW w:type="dxa" w:w="1512"/>
            <w:shd w:val="clear" w:color="auto" w:fill="FFFFFF"/>
            <w:vAlign w:val="top"/>
            <w:tcW w:w="3118" w:type="dxa"/>
          </w:tcPr>
          <w:p>
            <w:r>
              <w:rPr>
                <w:sz w:val="18"/>
              </w:rPr>
              <w:t>Remove product residue from drying surfaces and screens. Check for accumulation.</w:t>
            </w:r>
          </w:p>
        </w:tc>
        <w:tc>
          <w:tcPr>
            <w:tcW w:type="dxa" w:w="1512"/>
            <w:shd w:val="clear" w:color="auto" w:fill="FFFFFF"/>
            <w:vAlign w:val="top"/>
            <w:tcW w:w="1814" w:type="dxa"/>
          </w:tcPr>
          <w:p>
            <w:r>
              <w:rPr>
                <w:sz w:val="18"/>
              </w:rPr>
              <w:t>Dry brush + compressed air</w:t>
            </w:r>
          </w:p>
        </w:tc>
        <w:tc>
          <w:tcPr>
            <w:tcW w:type="dxa" w:w="1512"/>
            <w:shd w:val="clear" w:color="auto" w:fill="FFFFFF"/>
            <w:vAlign w:val="top"/>
            <w:tcW w:w="1587" w:type="dxa"/>
          </w:tcPr>
          <w:p>
            <w:r>
              <w:rPr>
                <w:sz w:val="18"/>
              </w:rPr>
              <w:t>Drying Supervisor</w:t>
            </w:r>
          </w:p>
        </w:tc>
        <w:tc>
          <w:tcPr>
            <w:tcW w:type="dxa" w:w="1512"/>
            <w:shd w:val="clear" w:color="auto" w:fill="FFFFFF"/>
            <w:vAlign w:val="top"/>
            <w:tcW w:w="1530" w:type="dxa"/>
          </w:tcPr>
          <w:p>
            <w:r>
              <w:rPr>
                <w:sz w:val="18"/>
              </w:rPr>
              <w:t>Drying record</w:t>
            </w:r>
          </w:p>
        </w:tc>
      </w:tr>
      <w:tr>
        <w:tc>
          <w:tcPr>
            <w:tcW w:type="dxa" w:w="1512"/>
            <w:shd w:val="clear" w:color="auto" w:fill="F2F2F2"/>
            <w:vAlign w:val="top"/>
            <w:tcW w:w="2154" w:type="dxa"/>
          </w:tcPr>
          <w:p>
            <w:r>
              <w:rPr>
                <w:sz w:val="18"/>
              </w:rPr>
              <w:t>Storage / Holding Area</w:t>
            </w:r>
          </w:p>
        </w:tc>
        <w:tc>
          <w:tcPr>
            <w:tcW w:type="dxa" w:w="1512"/>
            <w:shd w:val="clear" w:color="auto" w:fill="F2F2F2"/>
            <w:vAlign w:val="top"/>
            <w:tcW w:w="1417" w:type="dxa"/>
          </w:tcPr>
          <w:p>
            <w:r>
              <w:rPr>
                <w:sz w:val="18"/>
              </w:rPr>
              <w:t>Between commodity lots</w:t>
            </w:r>
          </w:p>
        </w:tc>
        <w:tc>
          <w:tcPr>
            <w:tcW w:type="dxa" w:w="1512"/>
            <w:shd w:val="clear" w:color="auto" w:fill="F2F2F2"/>
            <w:vAlign w:val="top"/>
            <w:tcW w:w="3118" w:type="dxa"/>
          </w:tcPr>
          <w:p>
            <w:r>
              <w:rPr>
                <w:sz w:val="18"/>
              </w:rPr>
              <w:t>Full sweep-out of storage space. Inspect for residue and pest activity.</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Packing &amp; Export Preparation Area</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product from all surfaces. Sweep floor. Wipe all equipment.</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floors, basins, toilets.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Area</w:t>
      </w:r>
    </w:p>
    <w:p>
      <w:r>
        <w:rPr>
          <w:b w:val="0"/>
          <w:i w:val="0"/>
          <w:sz w:val="20"/>
        </w:rPr>
        <w:t>Designated staff are responsible for maintaining the Receival / Intake Area in a clean and hygienic condition following each production run or daily as scheduled. Appropriate cleaning agents at specified dilutions shall be used. Completed cleaning activities are to be recorded in the site cleaning log.</w:t>
      </w:r>
    </w:p>
    <w:p>
      <w:pPr>
        <w:pStyle w:val="Heading2"/>
      </w:pPr>
      <w:r>
        <w:t>Processing Equipment / Line</w:t>
      </w:r>
    </w:p>
    <w:p>
      <w:r>
        <w:rPr>
          <w:b w:val="0"/>
          <w:i w:val="0"/>
          <w:sz w:val="20"/>
        </w:rPr>
        <w:t>After each production run: Isolate equipment before cleaning. Remove product residue from all contact surfaces: rollers, belts, screens. Prepare ProClean 200 at 1:50. Apply to surfaces, contact time 3 minutes, rinse with clean water. For heavily soiled components, use BioDegreaser FD at 1:25 prior to main clean. Inspect all surfaces for residue before returning to production. Record in Equipment Log.</w:t>
      </w:r>
    </w:p>
    <w:p>
      <w:pPr>
        <w:pStyle w:val="Heading2"/>
      </w:pPr>
      <w:r>
        <w:t>Drying / Conditioning Area</w:t>
      </w:r>
    </w:p>
    <w:p>
      <w:r>
        <w:rPr>
          <w:b w:val="0"/>
          <w:i w:val="0"/>
          <w:sz w:val="20"/>
        </w:rPr>
        <w:t>After each drying cycle: Allow drying surfaces to cool before cleaning. Use a stiff brush and compressed air to remove product residue and fines from drying mesh, trays, or belts. Vacuum accumulated material from under dryer frame. Inspect moisture sensing equipment surfaces. Record in Drying Record.</w:t>
      </w:r>
    </w:p>
    <w:p>
      <w:pPr>
        <w:pStyle w:val="Heading2"/>
      </w:pPr>
      <w:r>
        <w:t>Storage / Holding Area</w:t>
      </w:r>
    </w:p>
    <w:p>
      <w:r>
        <w:rPr>
          <w:b w:val="0"/>
          <w:i w:val="0"/>
          <w:sz w:val="20"/>
        </w:rPr>
        <w:t>Designated staff are responsible for maintaining the Storage / Holding Area in a clean and hygienic condition following each production run or daily as scheduled. Appropriate cleaning agents at specified dilutions shall be used. Completed cleaning activities are to be recorded in the site cleaning log.</w:t>
      </w:r>
    </w:p>
    <w:p>
      <w:pPr>
        <w:pStyle w:val="Heading2"/>
      </w:pPr>
      <w:r>
        <w:t>Packing &amp; Export Preparation Area</w:t>
      </w:r>
    </w:p>
    <w:p>
      <w:r>
        <w:rPr>
          <w:b w:val="0"/>
          <w:i w:val="0"/>
          <w:sz w:val="20"/>
        </w:rPr>
        <w:t>End of each shift: Clear all product from packing tables and export staging area. Remove used packaging materials to waste bay. Prepare ProClean 200 at 1:50. Wipe packing tables, scales, and conveyor surfaces. Sweep and mop floor. Confirm area is clear and clean before locking up. Record in Shift Cleaning Log.</w:t>
      </w:r>
    </w:p>
    <w:p/>
    <w:p>
      <w:pPr>
        <w:pStyle w:val="Heading1"/>
      </w:pPr>
      <w:r>
        <w:rPr>
          <w:color w:val="1F497D"/>
        </w:rPr>
        <w:t>6.  MANAGEMENT OF RESIDUES AND DEAD-STOCK ZONES</w:t>
      </w:r>
    </w:p>
    <w:p>
      <w:r>
        <w:rPr>
          <w:b w:val="0"/>
          <w:i w:val="0"/>
          <w:sz w:val="20"/>
        </w:rPr>
        <w:t>Product fines and residues accumulate in transition points, screen joins, and under drying surfaces. These dead zones are addressed during each production run clean-down and inspected during the weekly walkthrough.</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Processing equipment</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operates a digital hygiene management system (AgriCompliance Pro) for recording all cleaning activities. Paper originals are scanned and archived within 48 hours. Records are retained for a minimum of two years and are available for audit on request.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The establishment manager or nominated supervisor conducts a visual inspection of all cleaned areas prior to production commencement. Any deficiency identified is corrected before the area is cleared for use.</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14 May 2025. All production areas, storage facilities, and amenities were confirmed clean and free of product residue, pest activity, and hygiene deficiencies.</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Phil Donaldson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14 May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14 May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