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RE-NSW-2022-0044</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29 April 2025</w:t>
            </w:r>
          </w:p>
        </w:tc>
      </w:tr>
      <w:tr>
        <w:tc>
          <w:tcPr>
            <w:tcW w:type="dxa" w:w="2835"/>
            <w:shd w:val="clear" w:color="auto" w:fill="DCE6F1"/>
          </w:tcPr>
          <w:p>
            <w:r>
              <w:rPr>
                <w:b/>
                <w:sz w:val="20"/>
              </w:rPr>
              <w:t>Commodity</w:t>
            </w:r>
          </w:p>
        </w:tc>
        <w:tc>
          <w:tcPr>
            <w:tcW w:type="dxa" w:w="5669"/>
          </w:tcPr>
          <w:p>
            <w:r>
              <w:rPr>
                <w:sz w:val="20"/>
              </w:rPr>
              <w:t>Almonds</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92 345 678 904</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Riverina Almond Exports Pty Ltd</w:t>
            </w:r>
          </w:p>
        </w:tc>
      </w:tr>
      <w:tr>
        <w:tc>
          <w:tcPr>
            <w:tcW w:type="dxa" w:w="2835"/>
            <w:shd w:val="clear" w:color="auto" w:fill="DCE6F1"/>
          </w:tcPr>
          <w:p>
            <w:r>
              <w:rPr>
                <w:b/>
                <w:sz w:val="20"/>
              </w:rPr>
              <w:t>Trading Name</w:t>
            </w:r>
          </w:p>
        </w:tc>
        <w:tc>
          <w:tcPr>
            <w:tcW w:type="dxa" w:w="5669"/>
          </w:tcPr>
          <w:p>
            <w:r>
              <w:rPr>
                <w:sz w:val="20"/>
              </w:rPr>
              <w:t>Riverina Almond Exports Pty Ltd</w:t>
            </w:r>
          </w:p>
        </w:tc>
      </w:tr>
      <w:tr>
        <w:tc>
          <w:tcPr>
            <w:tcW w:type="dxa" w:w="2835"/>
            <w:shd w:val="clear" w:color="auto" w:fill="DCE6F1"/>
          </w:tcPr>
          <w:p>
            <w:r>
              <w:rPr>
                <w:b/>
                <w:sz w:val="20"/>
              </w:rPr>
              <w:t>Address</w:t>
            </w:r>
          </w:p>
        </w:tc>
        <w:tc>
          <w:tcPr>
            <w:tcW w:type="dxa" w:w="5669"/>
          </w:tcPr>
          <w:p>
            <w:r>
              <w:rPr>
                <w:sz w:val="20"/>
              </w:rPr>
              <w:t>200 Sturt Highway, Griffith NSW 2680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Vincent Mancini</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RE-NSW-2022-0044</w:t>
            </w:r>
          </w:p>
        </w:tc>
      </w:tr>
      <w:tr>
        <w:tc>
          <w:tcPr>
            <w:tcW w:type="dxa" w:w="2835"/>
            <w:shd w:val="clear" w:color="auto" w:fill="DCE6F1"/>
          </w:tcPr>
          <w:p>
            <w:r>
              <w:rPr>
                <w:b/>
                <w:sz w:val="20"/>
              </w:rPr>
              <w:t>Registration Expiry</w:t>
            </w:r>
          </w:p>
        </w:tc>
        <w:tc>
          <w:tcPr>
            <w:tcW w:type="dxa" w:w="5669"/>
          </w:tcPr>
          <w:p>
            <w:r>
              <w:rPr>
                <w:sz w:val="20"/>
              </w:rPr>
              <w:t>15 February 2025</w:t>
            </w:r>
          </w:p>
        </w:tc>
      </w:tr>
    </w:tbl>
    <w:p/>
    <w:p>
      <w:pPr>
        <w:pStyle w:val="Heading1"/>
      </w:pPr>
      <w:r>
        <w:rPr>
          <w:color w:val="1F497D"/>
          <w:sz w:val="26"/>
        </w:rPr>
        <w:t>2. Registered Export Operations</w:t>
      </w:r>
    </w:p>
    <w:p>
      <w:r>
        <w:rPr>
          <w:sz w:val="20"/>
        </w:rPr>
        <w:t>This establishment is registered to conduct export operations for almonds (nut).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Almonds receival</w:t>
            </w:r>
          </w:p>
        </w:tc>
        <w:tc>
          <w:tcPr>
            <w:tcW w:type="dxa" w:w="3135"/>
            <w:shd w:val="clear" w:color="auto" w:fill="F2F2F2"/>
          </w:tcPr>
          <w:p>
            <w:r>
              <w:rPr>
                <w:sz w:val="20"/>
              </w:rPr>
              <w:t>Intake of bulk and bagged almonds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almonds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almonds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RE-NSW-2022-0044 is current and active. The establishment was granted registration on 16 February 2022 and the current registration period extends to 15 February 2025. There are no conditions, suspensions or reviews attached to this registration.</w:t>
      </w:r>
    </w:p>
    <w:p/>
    <w:p>
      <w:pPr>
        <w:pStyle w:val="Heading1"/>
      </w:pPr>
      <w:r>
        <w:rPr>
          <w:color w:val="1F497D"/>
          <w:sz w:val="26"/>
        </w:rPr>
        <w:t>4. Fit and Proper Person</w:t>
      </w:r>
    </w:p>
    <w:p>
      <w:r>
        <w:rPr>
          <w:sz w:val="20"/>
        </w:rPr>
        <w:t>Vincent Mancini is the nominated responsible person for this registration. The establishment has been under continuous management since 2014.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7 on Plan DP 510716, located at 200 Sturt Highway, Griffith NSW 2680. The total registered area is 24.6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site plan is provided at Appendix A showing the general layout of the property, including paddock boundaries, shed footprints and road access. The plan indicates the locations of the main buildings and storage areas.</w:t>
      </w:r>
    </w:p>
    <w:p/>
    <w:p>
      <w:pPr>
        <w:pStyle w:val="Heading1"/>
      </w:pPr>
      <w:r>
        <w:rPr>
          <w:color w:val="1F497D"/>
          <w:sz w:val="26"/>
        </w:rPr>
        <w:t>8. Construction, Equipment and Facilities</w:t>
      </w:r>
    </w:p>
    <w:p>
      <w:r>
        <w:rPr>
          <w:sz w:val="20"/>
        </w:rPr>
        <w:t>The establishment infrastructure is designed and maintained to support the export of almonds.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registered for nut/dried fruit exports</w:t>
            </w:r>
          </w:p>
        </w:tc>
      </w:tr>
      <w:tr>
        <w:tc>
          <w:tcPr>
            <w:tcW w:type="dxa" w:w="4703"/>
          </w:tcPr>
          <w:p>
            <w:r>
              <w:rPr>
                <w:sz w:val="20"/>
              </w:rPr>
              <w:t>Phytosanitary Certificate</w:t>
            </w:r>
          </w:p>
        </w:tc>
        <w:tc>
          <w:tcPr>
            <w:tcW w:type="dxa" w:w="4703"/>
          </w:tcPr>
          <w:p>
            <w:r>
              <w:rPr>
                <w:sz w:val="20"/>
              </w:rPr>
              <w:t>PC required; freedom from stored product insects</w:t>
            </w:r>
          </w:p>
        </w:tc>
      </w:tr>
      <w:tr>
        <w:tc>
          <w:tcPr>
            <w:tcW w:type="dxa" w:w="4703"/>
            <w:shd w:val="clear" w:color="auto" w:fill="F2F2F2"/>
          </w:tcPr>
          <w:p>
            <w:r>
              <w:rPr>
                <w:sz w:val="20"/>
              </w:rPr>
              <w:t>Aflatoxin</w:t>
            </w:r>
          </w:p>
        </w:tc>
        <w:tc>
          <w:tcPr>
            <w:tcW w:type="dxa" w:w="4703"/>
            <w:shd w:val="clear" w:color="auto" w:fill="F2F2F2"/>
          </w:tcPr>
          <w:p>
            <w:r>
              <w:rPr>
                <w:sz w:val="20"/>
              </w:rPr>
              <w:t>Total aflatoxin ≤10 ppb; aflatoxin B1 ≤5 ppb per GB standards</w:t>
            </w:r>
          </w:p>
        </w:tc>
      </w:tr>
      <w:tr>
        <w:tc>
          <w:tcPr>
            <w:tcW w:type="dxa" w:w="4703"/>
          </w:tcPr>
          <w:p>
            <w:r>
              <w:rPr>
                <w:sz w:val="20"/>
              </w:rPr>
              <w:t>Fumigation</w:t>
            </w:r>
          </w:p>
        </w:tc>
        <w:tc>
          <w:tcPr>
            <w:tcW w:type="dxa" w:w="4703"/>
          </w:tcPr>
          <w:p>
            <w:r>
              <w:rPr>
                <w:sz w:val="20"/>
              </w:rPr>
              <w:t>Post-harvest fumigation with approved schedule</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Vincent Mancini, as the responsible person for Riverina Almond Exports Pty Ltd (RE RE-NSW-2022-0044),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Vincent Mancini</w:t>
            </w:r>
          </w:p>
        </w:tc>
      </w:tr>
      <w:tr>
        <w:tc>
          <w:tcPr>
            <w:tcW w:type="dxa" w:w="2835"/>
            <w:shd w:val="clear" w:color="auto" w:fill="DCE6F1"/>
          </w:tcPr>
          <w:p>
            <w:r>
              <w:rPr>
                <w:b/>
                <w:sz w:val="20"/>
              </w:rPr>
              <w:t>Date</w:t>
            </w:r>
          </w:p>
        </w:tc>
        <w:tc>
          <w:tcPr>
            <w:tcW w:type="dxa" w:w="5669"/>
          </w:tcPr>
          <w:p>
            <w:r>
              <w:rPr>
                <w:sz w:val="20"/>
              </w:rPr>
              <w:t>29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