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Riverina Almond Exports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RE-NSW-2022-0044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NSW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200 Sturt Highway, Griffith NSW 2680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Lentils and Chickpeas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v3.2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QA Coordinator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Some lot relabelling events are reconciled at day-end rather than point-of-movement. One interim staging bay uses temporary mesh segregation pending permanent barrier installation.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Current flow chart aligns with all active process routes including rework and hold-release points.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Substitution controls rely on single-operator checks for selected late-shift dispatches.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Packaging/containment checks verify cleanliness, integrity, and correct labels before release.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