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6"/>
        </w:rPr>
        <w:t>PHYTOSANITARY SECURITY PROCEDURE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Namoi Cotton Seed Exports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RE-NSW-2022-0155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NSW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11 Newell Highway, Narrabri NSW 2390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Wheat and Barley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Procedure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v1.5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Export Supervisor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Purpose and Scope</w:t>
      </w:r>
    </w:p>
    <w:p>
      <w:r>
        <w:rPr>
          <w:b w:val="0"/>
          <w:i w:val="0"/>
          <w:sz w:val="18"/>
        </w:rPr>
        <w:t>Product movement is recorded by lot/batch from receival through dispatch with unique docket IDs. One interim staging bay uses temporary mesh segregation pending permanent barrier installation.</w:t>
      </w:r>
    </w:p>
    <w:p>
      <w:pPr>
        <w:spacing w:before="200" w:after="60"/>
      </w:pPr>
      <w:r>
        <w:rPr>
          <w:b/>
          <w:color w:val="1F497D"/>
          <w:sz w:val="26"/>
        </w:rPr>
        <w:t>2. Product Flow and Integrity</w:t>
      </w:r>
    </w:p>
    <w:p>
      <w:r>
        <w:rPr>
          <w:b w:val="0"/>
          <w:i w:val="0"/>
          <w:sz w:val="18"/>
        </w:rPr>
        <w:t>Current flow chart aligns with all active process routes including rework and hold-release points.</w:t>
      </w:r>
    </w:p>
    <w:p>
      <w:pPr>
        <w:pStyle w:val="ListBullet"/>
      </w:pPr>
      <w:r>
        <w:rPr>
          <w:sz w:val="18"/>
        </w:rPr>
        <w:t>Receival -&gt; ID Labelling -&gt; Segregated Storage -&gt; Sampling -&gt; Load-out -&gt; Dispatch</w:t>
      </w:r>
    </w:p>
    <w:p>
      <w:pPr>
        <w:pStyle w:val="ListBullet"/>
      </w:pPr>
      <w:r>
        <w:rPr>
          <w:sz w:val="18"/>
        </w:rPr>
        <w:t>Shift-end reconciliation of lot movement, inventory position, and dispatch ledger</w:t>
      </w:r>
    </w:p>
    <w:p>
      <w:pPr>
        <w:pStyle w:val="ListBullet"/>
      </w:pPr>
      <w:r>
        <w:rPr>
          <w:sz w:val="18"/>
        </w:rPr>
        <w:t>Seal issue/register check at dispatch and seal verification on arrival (where applicable)</w:t>
      </w:r>
    </w:p>
    <w:p>
      <w:pPr>
        <w:spacing w:before="200" w:after="60"/>
      </w:pPr>
      <w:r>
        <w:rPr>
          <w:b/>
          <w:color w:val="1F497D"/>
          <w:sz w:val="26"/>
        </w:rPr>
        <w:t>3. Phytosanitary Security Controls</w:t>
      </w:r>
    </w:p>
    <w:p>
      <w:r>
        <w:rPr>
          <w:b w:val="0"/>
          <w:i w:val="0"/>
          <w:sz w:val="18"/>
        </w:rPr>
        <w:t>Substitution controls rely on single-operator checks for selected late-shift dispatches.</w:t>
      </w:r>
    </w:p>
    <w:p>
      <w:pPr>
        <w:spacing w:before="200" w:after="60"/>
      </w:pPr>
      <w:r>
        <w:rPr>
          <w:b/>
          <w:color w:val="1F497D"/>
          <w:sz w:val="26"/>
        </w:rPr>
        <w:t>4. Packaging and Containment</w:t>
      </w:r>
    </w:p>
    <w:p>
      <w:r>
        <w:rPr>
          <w:b w:val="0"/>
          <w:i w:val="0"/>
          <w:sz w:val="18"/>
        </w:rPr>
        <w:t>Occasional packaging QC records are attached to shift summary instead of individual lot files.</w:t>
      </w:r>
    </w:p>
    <w:p>
      <w:pPr>
        <w:spacing w:before="200" w:after="60"/>
      </w:pPr>
      <w:r>
        <w:rPr>
          <w:b/>
          <w:color w:val="1F497D"/>
          <w:sz w:val="26"/>
        </w:rPr>
        <w:t>5. Site Control Sketch (Text)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Receival -&gt; Segregated Storage -&gt; Sampling -&gt; Dispatch Zone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Hold/Reject Area physically separated and clearly identified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Access controls at loading points and seal checkpoint station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