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MANAGEMENSW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Quirindi Grain</w:t>
            </w:r>
          </w:p>
        </w:tc>
      </w:tr>
      <w:tr>
        <w:tc>
          <w:tcPr>
            <w:tcW w:type="dxa" w:w="3118"/>
            <w:shd w:val="clear" w:color="auto" w:fill="DCE6F1"/>
            <w:vAlign w:val="center"/>
          </w:tcPr>
          <w:p>
            <w:r>
              <w:rPr>
                <w:b/>
                <w:sz w:val="18"/>
              </w:rPr>
              <w:t>RE Number</w:t>
            </w:r>
          </w:p>
        </w:tc>
        <w:tc>
          <w:tcPr>
            <w:tcW w:type="dxa" w:w="6236"/>
            <w:vAlign w:val="center"/>
          </w:tcPr>
          <w:p>
            <w:r>
              <w:rPr>
                <w:sz w:val="18"/>
              </w:rPr>
              <w:t>RE-NSW-2022-0166</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55 New England Highway, Quirindi NSW 2343</w:t>
            </w:r>
          </w:p>
        </w:tc>
      </w:tr>
      <w:tr>
        <w:tc>
          <w:tcPr>
            <w:tcW w:type="dxa" w:w="3118"/>
            <w:shd w:val="clear" w:color="auto" w:fill="DCE6F1"/>
            <w:vAlign w:val="center"/>
          </w:tcPr>
          <w:p>
            <w:r>
              <w:rPr>
                <w:b/>
                <w:sz w:val="18"/>
              </w:rPr>
              <w:t>Registered Commodity</w:t>
            </w:r>
          </w:p>
        </w:tc>
        <w:tc>
          <w:tcPr>
            <w:tcW w:type="dxa" w:w="6236"/>
            <w:vAlign w:val="center"/>
          </w:tcPr>
          <w:p>
            <w:r>
              <w:rPr>
                <w:sz w:val="18"/>
              </w:rPr>
              <w:t>Lentils</w:t>
            </w:r>
          </w:p>
        </w:tc>
      </w:tr>
      <w:tr>
        <w:tc>
          <w:tcPr>
            <w:tcW w:type="dxa" w:w="3118"/>
            <w:shd w:val="clear" w:color="auto" w:fill="DCE6F1"/>
            <w:vAlign w:val="center"/>
          </w:tcPr>
          <w:p>
            <w:r>
              <w:rPr>
                <w:b/>
                <w:sz w:val="18"/>
              </w:rPr>
              <w:t>Responsible Officer</w:t>
            </w:r>
          </w:p>
        </w:tc>
        <w:tc>
          <w:tcPr>
            <w:tcW w:type="dxa" w:w="6236"/>
            <w:vAlign w:val="center"/>
          </w:tcPr>
          <w:p>
            <w:r>
              <w:rPr>
                <w:sz w:val="18"/>
              </w:rPr>
              <w:t>Mark Treloar</w:t>
            </w:r>
          </w:p>
        </w:tc>
      </w:tr>
      <w:tr>
        <w:tc>
          <w:tcPr>
            <w:tcW w:type="dxa" w:w="3118"/>
            <w:shd w:val="clear" w:color="auto" w:fill="DCE6F1"/>
            <w:vAlign w:val="center"/>
          </w:tcPr>
          <w:p>
            <w:r>
              <w:rPr>
                <w:b/>
                <w:sz w:val="18"/>
              </w:rPr>
              <w:t>Property Area</w:t>
            </w:r>
          </w:p>
        </w:tc>
        <w:tc>
          <w:tcPr>
            <w:tcW w:type="dxa" w:w="6236"/>
            <w:vAlign w:val="center"/>
          </w:tcPr>
          <w:p>
            <w:r>
              <w:rPr>
                <w:sz w:val="18"/>
              </w:rPr>
              <w:t>240.0 ha</w:t>
            </w:r>
          </w:p>
        </w:tc>
      </w:tr>
      <w:tr>
        <w:tc>
          <w:tcPr>
            <w:tcW w:type="dxa" w:w="3118"/>
            <w:shd w:val="clear" w:color="auto" w:fill="DCE6F1"/>
            <w:vAlign w:val="center"/>
          </w:tcPr>
          <w:p>
            <w:r>
              <w:rPr>
                <w:b/>
                <w:sz w:val="18"/>
              </w:rPr>
              <w:t>Year Established</w:t>
            </w:r>
          </w:p>
        </w:tc>
        <w:tc>
          <w:tcPr>
            <w:tcW w:type="dxa" w:w="6236"/>
            <w:vAlign w:val="center"/>
          </w:tcPr>
          <w:p>
            <w:r>
              <w:rPr>
                <w:sz w:val="18"/>
              </w:rPr>
              <w:t>2021</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11 June 2024</w:t>
            </w:r>
          </w:p>
        </w:tc>
      </w:tr>
      <w:tr>
        <w:tc>
          <w:tcPr>
            <w:tcW w:type="dxa" w:w="3118"/>
            <w:shd w:val="clear" w:color="auto" w:fill="DCE6F1"/>
            <w:vAlign w:val="center"/>
          </w:tcPr>
          <w:p>
            <w:r>
              <w:rPr>
                <w:b/>
                <w:sz w:val="18"/>
              </w:rPr>
              <w:t>Next Review</w:t>
            </w:r>
          </w:p>
        </w:tc>
        <w:tc>
          <w:tcPr>
            <w:tcW w:type="dxa" w:w="6236"/>
            <w:vAlign w:val="center"/>
          </w:tcPr>
          <w:p>
            <w:r>
              <w:rPr>
                <w:sz w:val="18"/>
              </w:rPr>
              <w:t>11 June 2026</w:t>
            </w:r>
          </w:p>
        </w:tc>
      </w:tr>
    </w:tbl>
    <w:p/>
    <w:p>
      <w:pPr>
        <w:pStyle w:val="Heading1"/>
      </w:pPr>
      <w:r>
        <w:rPr>
          <w:color w:val="1F497D"/>
        </w:rPr>
        <w:t>1.  OVERVIEW</w:t>
      </w:r>
    </w:p>
    <w:p>
      <w:r>
        <w:rPr>
          <w:b w:val="0"/>
          <w:i w:val="0"/>
          <w:sz w:val="20"/>
        </w:rPr>
        <w:t>Quirindi Grain is a registered export establishment located at 55 New England Highway, Quirindi NSW 2343, NSW. The establishment holds RE Number RE-NSW-2022-0166 and is registered to handle and export Lentils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EQUIPMENSW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Lentils.</w:t>
      </w:r>
    </w:p>
    <w:p>
      <w:pPr>
        <w:pStyle w:val="Heading2"/>
      </w:pPr>
      <w:r>
        <w:t>4.2  Lighting (C2)</w:t>
      </w:r>
    </w:p>
    <w:p>
      <w:r>
        <w:rPr>
          <w:b w:val="0"/>
          <w:i w:val="0"/>
          <w:sz w:val="20"/>
        </w:rPr>
        <w:t>High-efficiency LED battens throughout: 470 lux packing hall, 360 lux cool store entry, 342 lux dispatch bay. Sensor-activated step-lighting along conveyor access walkways. All fittings shatterproof-sleeved, IP54 rated minimum.</w:t>
      </w:r>
    </w:p>
    <w:p>
      <w:pPr>
        <w:pStyle w:val="Heading2"/>
      </w:pPr>
      <w:r>
        <w:t>4.3  Handwashing and Toilet Facilities (C3)</w:t>
      </w:r>
    </w:p>
    <w:p>
      <w:r>
        <w:rPr>
          <w:b w:val="0"/>
          <w:i w:val="0"/>
          <w:sz w:val="20"/>
        </w:rPr>
        <w:t>Converted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MANAGEMENSW SYSTEM</w:t>
      </w:r>
    </w:p>
    <w:p>
      <w:r>
        <w:rPr>
          <w:i/>
          <w:color w:val="555555"/>
          <w:sz w:val="18"/>
        </w:rPr>
        <w:t>Rules s4-7A(2)(a) — Element 3.1 checking point C7</w:t>
      </w:r>
    </w:p>
    <w:p>
      <w:pPr>
        <w:pStyle w:val="Heading2"/>
      </w:pPr>
      <w:r>
        <w:t>6.1  Waste Management Procedures (C7)</w:t>
      </w:r>
    </w:p>
    <w:p>
      <w:r>
        <w:rPr>
          <w:b w:val="0"/>
          <w:i w:val="0"/>
          <w:sz w:val="20"/>
        </w:rPr>
        <w:t>Waste Management SOP (WM-SOP-167, version 2.2,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ESTABLISHMENSW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6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February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Power and Water Corp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bore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Mark Treloar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11 June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