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Boggabri Pulse and Grain</w:t>
            </w:r>
          </w:p>
        </w:tc>
      </w:tr>
      <w:tr>
        <w:tc>
          <w:tcPr>
            <w:tcW w:type="dxa" w:w="3118"/>
            <w:shd w:val="clear" w:color="auto" w:fill="DCE6F1"/>
            <w:vAlign w:val="center"/>
          </w:tcPr>
          <w:p>
            <w:r>
              <w:rPr>
                <w:b/>
                <w:sz w:val="18"/>
              </w:rPr>
              <w:t>RE Number</w:t>
            </w:r>
          </w:p>
        </w:tc>
        <w:tc>
          <w:tcPr>
            <w:tcW w:type="dxa" w:w="6236"/>
            <w:vAlign w:val="center"/>
          </w:tcPr>
          <w:p>
            <w:r>
              <w:rPr>
                <w:sz w:val="18"/>
              </w:rPr>
              <w:t>RE-NSW-2022-0199</w:t>
            </w:r>
          </w:p>
        </w:tc>
      </w:tr>
      <w:tr>
        <w:tc>
          <w:tcPr>
            <w:tcW w:type="dxa" w:w="3118"/>
            <w:shd w:val="clear" w:color="auto" w:fill="DCE6F1"/>
            <w:vAlign w:val="center"/>
          </w:tcPr>
          <w:p>
            <w:r>
              <w:rPr>
                <w:b/>
                <w:sz w:val="18"/>
              </w:rPr>
              <w:t>State / Territory</w:t>
            </w:r>
          </w:p>
        </w:tc>
        <w:tc>
          <w:tcPr>
            <w:tcW w:type="dxa" w:w="6236"/>
            <w:vAlign w:val="center"/>
          </w:tcPr>
          <w:p>
            <w:r>
              <w:rPr>
                <w:sz w:val="18"/>
              </w:rPr>
              <w:t>NSW</w:t>
            </w:r>
          </w:p>
        </w:tc>
      </w:tr>
      <w:tr>
        <w:tc>
          <w:tcPr>
            <w:tcW w:type="dxa" w:w="3118"/>
            <w:shd w:val="clear" w:color="auto" w:fill="DCE6F1"/>
            <w:vAlign w:val="center"/>
          </w:tcPr>
          <w:p>
            <w:r>
              <w:rPr>
                <w:b/>
                <w:sz w:val="18"/>
              </w:rPr>
              <w:t>Property Address</w:t>
            </w:r>
          </w:p>
        </w:tc>
        <w:tc>
          <w:tcPr>
            <w:tcW w:type="dxa" w:w="6236"/>
            <w:vAlign w:val="center"/>
          </w:tcPr>
          <w:p>
            <w:r>
              <w:rPr>
                <w:sz w:val="18"/>
              </w:rPr>
              <w:t>22 Oxley Highway, Boggabri NSW 2382</w:t>
            </w:r>
          </w:p>
        </w:tc>
      </w:tr>
      <w:tr>
        <w:tc>
          <w:tcPr>
            <w:tcW w:type="dxa" w:w="3118"/>
            <w:shd w:val="clear" w:color="auto" w:fill="DCE6F1"/>
            <w:vAlign w:val="center"/>
          </w:tcPr>
          <w:p>
            <w:r>
              <w:rPr>
                <w:b/>
                <w:sz w:val="18"/>
              </w:rPr>
              <w:t>Registered Commodity</w:t>
            </w:r>
          </w:p>
        </w:tc>
        <w:tc>
          <w:tcPr>
            <w:tcW w:type="dxa" w:w="6236"/>
            <w:vAlign w:val="center"/>
          </w:tcPr>
          <w:p>
            <w:r>
              <w:rPr>
                <w:sz w:val="18"/>
              </w:rPr>
              <w:t>Walnuts</w:t>
            </w:r>
          </w:p>
        </w:tc>
      </w:tr>
      <w:tr>
        <w:tc>
          <w:tcPr>
            <w:tcW w:type="dxa" w:w="3118"/>
            <w:shd w:val="clear" w:color="auto" w:fill="DCE6F1"/>
            <w:vAlign w:val="center"/>
          </w:tcPr>
          <w:p>
            <w:r>
              <w:rPr>
                <w:b/>
                <w:sz w:val="18"/>
              </w:rPr>
              <w:t>Responsible Officer</w:t>
            </w:r>
          </w:p>
        </w:tc>
        <w:tc>
          <w:tcPr>
            <w:tcW w:type="dxa" w:w="6236"/>
            <w:vAlign w:val="center"/>
          </w:tcPr>
          <w:p>
            <w:r>
              <w:rPr>
                <w:sz w:val="18"/>
              </w:rPr>
              <w:t>Claire Booth</w:t>
            </w:r>
          </w:p>
        </w:tc>
      </w:tr>
      <w:tr>
        <w:tc>
          <w:tcPr>
            <w:tcW w:type="dxa" w:w="3118"/>
            <w:shd w:val="clear" w:color="auto" w:fill="DCE6F1"/>
            <w:vAlign w:val="center"/>
          </w:tcPr>
          <w:p>
            <w:r>
              <w:rPr>
                <w:b/>
                <w:sz w:val="18"/>
              </w:rPr>
              <w:t>Property Area</w:t>
            </w:r>
          </w:p>
        </w:tc>
        <w:tc>
          <w:tcPr>
            <w:tcW w:type="dxa" w:w="6236"/>
            <w:vAlign w:val="center"/>
          </w:tcPr>
          <w:p>
            <w:r>
              <w:rPr>
                <w:sz w:val="18"/>
              </w:rPr>
              <w:t>95.0 ha</w:t>
            </w:r>
          </w:p>
        </w:tc>
      </w:tr>
      <w:tr>
        <w:tc>
          <w:tcPr>
            <w:tcW w:type="dxa" w:w="3118"/>
            <w:shd w:val="clear" w:color="auto" w:fill="DCE6F1"/>
            <w:vAlign w:val="center"/>
          </w:tcPr>
          <w:p>
            <w:r>
              <w:rPr>
                <w:b/>
                <w:sz w:val="18"/>
              </w:rPr>
              <w:t>Year Established</w:t>
            </w:r>
          </w:p>
        </w:tc>
        <w:tc>
          <w:tcPr>
            <w:tcW w:type="dxa" w:w="6236"/>
            <w:vAlign w:val="center"/>
          </w:tcPr>
          <w:p>
            <w:r>
              <w:rPr>
                <w:sz w:val="18"/>
              </w:rPr>
              <w:t>2020</w:t>
            </w:r>
          </w:p>
        </w:tc>
      </w:tr>
      <w:tr>
        <w:tc>
          <w:tcPr>
            <w:tcW w:type="dxa" w:w="3118"/>
            <w:shd w:val="clear" w:color="auto" w:fill="DCE6F1"/>
            <w:vAlign w:val="center"/>
          </w:tcPr>
          <w:p>
            <w:r>
              <w:rPr>
                <w:b/>
                <w:sz w:val="18"/>
              </w:rPr>
              <w:t>Document Version</w:t>
            </w:r>
          </w:p>
        </w:tc>
        <w:tc>
          <w:tcPr>
            <w:tcW w:type="dxa" w:w="6236"/>
            <w:vAlign w:val="center"/>
          </w:tcPr>
          <w:p>
            <w:r>
              <w:rPr>
                <w:sz w:val="18"/>
              </w:rPr>
              <w:t>2.3</w:t>
            </w:r>
          </w:p>
        </w:tc>
      </w:tr>
      <w:tr>
        <w:tc>
          <w:tcPr>
            <w:tcW w:type="dxa" w:w="3118"/>
            <w:shd w:val="clear" w:color="auto" w:fill="DCE6F1"/>
            <w:vAlign w:val="center"/>
          </w:tcPr>
          <w:p>
            <w:r>
              <w:rPr>
                <w:b/>
                <w:sz w:val="18"/>
              </w:rPr>
              <w:t>Plan Date</w:t>
            </w:r>
          </w:p>
        </w:tc>
        <w:tc>
          <w:tcPr>
            <w:tcW w:type="dxa" w:w="6236"/>
            <w:vAlign w:val="center"/>
          </w:tcPr>
          <w:p>
            <w:r>
              <w:rPr>
                <w:sz w:val="18"/>
              </w:rPr>
              <w:t>29 January 2024</w:t>
            </w:r>
          </w:p>
        </w:tc>
      </w:tr>
      <w:tr>
        <w:tc>
          <w:tcPr>
            <w:tcW w:type="dxa" w:w="3118"/>
            <w:shd w:val="clear" w:color="auto" w:fill="DCE6F1"/>
            <w:vAlign w:val="center"/>
          </w:tcPr>
          <w:p>
            <w:r>
              <w:rPr>
                <w:b/>
                <w:sz w:val="18"/>
              </w:rPr>
              <w:t>Next Review</w:t>
            </w:r>
          </w:p>
        </w:tc>
        <w:tc>
          <w:tcPr>
            <w:tcW w:type="dxa" w:w="6236"/>
            <w:vAlign w:val="center"/>
          </w:tcPr>
          <w:p>
            <w:r>
              <w:rPr>
                <w:sz w:val="18"/>
              </w:rPr>
              <w:t>29 January 2026</w:t>
            </w:r>
          </w:p>
        </w:tc>
      </w:tr>
    </w:tbl>
    <w:p/>
    <w:p>
      <w:pPr>
        <w:pStyle w:val="Heading1"/>
      </w:pPr>
      <w:r>
        <w:rPr>
          <w:color w:val="1F497D"/>
        </w:rPr>
        <w:t>1.  OVERVIEW</w:t>
      </w:r>
    </w:p>
    <w:p>
      <w:r>
        <w:rPr>
          <w:b w:val="0"/>
          <w:i w:val="0"/>
          <w:sz w:val="20"/>
        </w:rPr>
        <w:t>Boggabri Pulse and Grain is a registered export establishment located at 22 Oxley Highway, Boggabri NSW 2382, NSW. The establishment holds RE Number RE-NSW-2022-0199 and is registered to handle and export Walnuts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Processing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Walnuts.</w:t>
      </w:r>
    </w:p>
    <w:p>
      <w:pPr>
        <w:pStyle w:val="Heading2"/>
      </w:pPr>
      <w:r>
        <w:t>4.2  Lighting (C2)</w:t>
      </w:r>
    </w:p>
    <w:p>
      <w:r>
        <w:rPr>
          <w:b w:val="0"/>
          <w:i w:val="0"/>
          <w:sz w:val="20"/>
        </w:rPr>
        <w:t>T5 LED fluorescent panels on 600 mm spacing — 450 lux at floor level throughout processing area. Task lighting above grading line at 500 lux. Loading dock: 300 W LED floods at 342 lux. Emergency lighting on dedicated UPS circuit.</w:t>
      </w:r>
    </w:p>
    <w:p>
      <w:pPr>
        <w:pStyle w:val="Heading2"/>
      </w:pPr>
      <w:r>
        <w:t>4.3  Handwashing and Toilet Facilities (C3)</w:t>
      </w:r>
    </w:p>
    <w:p>
      <w:r>
        <w:rPr>
          <w:b w:val="0"/>
          <w:i w:val="0"/>
          <w:sz w:val="20"/>
        </w:rPr>
        <w:t>Self-contained amenities unit: 1 toilet, 1 hand basin — hot/cold water, liquid soap dispensers, paper towels, hand sanitiser. Sited at main processing entry (&lt;15 m from packing line). Additional wash station at grading line head-of-line position.</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Floors: smooth-trowelled reinforced concrete with penetrating sealant (applied 2020); coved floor-wall junctions throughout. Wall cladding: 1.6 mm Zincalume on galvanised rails to 3.0 m — smooth, washable. All service penetrations sealed with flexible polyurethane. Drain covers: lift-out stainless-steel.</w:t>
      </w:r>
    </w:p>
    <w:p>
      <w:pPr>
        <w:pStyle w:val="Heading2"/>
      </w:pPr>
      <w:r>
        <w:t>5.2  Contamination and Pest Harbourage Minimisation (C5)</w:t>
      </w:r>
    </w:p>
    <w:p>
      <w:r>
        <w:rPr>
          <w:b w:val="0"/>
          <w:i w:val="0"/>
          <w:sz w:val="20"/>
        </w:rPr>
        <w:t>Pest exclusion features: (1) all gaps &gt;6 mm in the building envelope sealed; (2) ventilation openings screened with 6 mm galvanised mesh; (3) all doors have rubber or brush seals at threshold and jambs; (4) drainage openings covered with SS mesh inserts; (5) no internal ledges &gt;50 mm depth without ≥45° slope; (6) equipment on feet to eliminate floor-level harbourage. Inspected by licensed technician every 6 months.</w:t>
      </w:r>
    </w:p>
    <w:p>
      <w:pPr>
        <w:pStyle w:val="Heading2"/>
      </w:pPr>
      <w:r>
        <w:t>5.3  Waste Disposal Design (C6)</w:t>
      </w:r>
    </w:p>
    <w:p>
      <w:r>
        <w:rPr>
          <w:b w:val="0"/>
          <w:i w:val="0"/>
          <w:sz w:val="20"/>
        </w:rPr>
        <w:t>Waste infrastructure: (1) floor drains to grease interceptor → licensed trade waste; (2) solid product waste in sealed 240 L bins at processing line discharge — removed to covered bunded external skip, collected by contractor twice weekly; (3) packaging waste in baler at external waste bay; (4) dust and fines via bag filter — bags sealed and removed weekly. All collection points have contained, cleanable surfaces.</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Control System (Doc WCS-001): defines (a) waste stream classification, (b) daily/weekly/post-production cleaning tasks, (c) responsible personnel, (d) waste contractor schedule, (e) emergency spill response. Compliance records in digital operations log. Internal audit quarterly.</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Establishment condition — most recent internal inspection: processing hall floor clean, drains clear; grading equipment wiped down post-use, no residue on contact surfaces; wall linings free from dust and condensation staining; chemical store tidy with labelled containers; waste bins emptied and clean. Condition consistent with good hygiene practices.</w:t>
      </w:r>
    </w:p>
    <w:p>
      <w:pPr>
        <w:pStyle w:val="Heading2"/>
      </w:pPr>
      <w:r>
        <w:t>7.2  Pest Condition (C9)</w:t>
      </w:r>
    </w:p>
    <w:p>
      <w:r>
        <w:rPr>
          <w:b w:val="0"/>
          <w:i w:val="0"/>
          <w:sz w:val="20"/>
        </w:rPr>
        <w:t>Establishment pest-free: no rodent activity (no droppings, gnaw marks or runs observed); insect pheromone traps — current catches below threshold (3 moths/week vs 10 moths/week threshold); grain probe sampling negative for live insects; bird deterrents in place and effective; all bait stations serviceable.</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TasNetworks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Claire Booth</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29 January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