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Boggabri Pulse and Grain</w:t>
            </w:r>
          </w:p>
        </w:tc>
      </w:tr>
      <w:tr>
        <w:tc>
          <w:tcPr>
            <w:tcW w:type="dxa" w:w="4536"/>
            <w:shd w:val="clear" w:color="auto" w:fill="1F497D"/>
            <w:vAlign w:val="center"/>
          </w:tcPr>
          <w:p>
            <w:r>
              <w:rPr>
                <w:b/>
                <w:color w:val="FFFFFF"/>
                <w:sz w:val="18"/>
              </w:rPr>
              <w:t>RE Number</w:t>
            </w:r>
          </w:p>
        </w:tc>
        <w:tc>
          <w:tcPr>
            <w:tcW w:type="dxa" w:w="4536"/>
          </w:tcPr>
          <w:p>
            <w:r>
              <w:rPr>
                <w:sz w:val="18"/>
              </w:rPr>
              <w:t>RE-NSW-2022-0199</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22 Oxley Highway, Boggabri NSW 2382</w:t>
            </w:r>
          </w:p>
        </w:tc>
      </w:tr>
      <w:tr>
        <w:tc>
          <w:tcPr>
            <w:tcW w:type="dxa" w:w="4536"/>
            <w:shd w:val="clear" w:color="auto" w:fill="1F497D"/>
            <w:vAlign w:val="center"/>
          </w:tcPr>
          <w:p>
            <w:r>
              <w:rPr>
                <w:b/>
                <w:color w:val="FFFFFF"/>
                <w:sz w:val="18"/>
              </w:rPr>
              <w:t>Registered Commodity</w:t>
            </w:r>
          </w:p>
        </w:tc>
        <w:tc>
          <w:tcPr>
            <w:tcW w:type="dxa" w:w="4536"/>
          </w:tcPr>
          <w:p>
            <w:r>
              <w:rPr>
                <w:sz w:val="18"/>
              </w:rPr>
              <w:t>Pineapples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Kevin Lam</w:t>
            </w:r>
          </w:p>
        </w:tc>
      </w:tr>
      <w:tr>
        <w:tc>
          <w:tcPr>
            <w:tcW w:type="dxa" w:w="4536"/>
            <w:shd w:val="clear" w:color="auto" w:fill="1F497D"/>
            <w:vAlign w:val="center"/>
          </w:tcPr>
          <w:p>
            <w:r>
              <w:rPr>
                <w:b/>
                <w:color w:val="FFFFFF"/>
                <w:sz w:val="18"/>
              </w:rPr>
              <w:t>Property Area</w:t>
            </w:r>
          </w:p>
        </w:tc>
        <w:tc>
          <w:tcPr>
            <w:tcW w:type="dxa" w:w="4536"/>
          </w:tcPr>
          <w:p>
            <w:r>
              <w:rPr>
                <w:sz w:val="18"/>
              </w:rPr>
              <w:t>320.0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10 October 2025</w:t>
            </w:r>
          </w:p>
        </w:tc>
      </w:tr>
      <w:tr>
        <w:tc>
          <w:tcPr>
            <w:tcW w:type="dxa" w:w="4536"/>
            <w:shd w:val="clear" w:color="auto" w:fill="1F497D"/>
            <w:vAlign w:val="center"/>
          </w:tcPr>
          <w:p>
            <w:r>
              <w:rPr>
                <w:b/>
                <w:color w:val="FFFFFF"/>
                <w:sz w:val="18"/>
              </w:rPr>
              <w:t>Next Review</w:t>
            </w:r>
          </w:p>
        </w:tc>
        <w:tc>
          <w:tcPr>
            <w:tcW w:type="dxa" w:w="4536"/>
          </w:tcPr>
          <w:p>
            <w:r>
              <w:rPr>
                <w:sz w:val="18"/>
              </w:rPr>
              <w:t>10 October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applies during the active Pineapples harvest and processing season. General site maintenance applies outside the season.</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Pineapples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Kevin Lam</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 (season only)</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 (season only)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 (season only)</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10 October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Kevin Lam</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10 October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10 October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