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RE-NSW-2023-0044</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23 April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Bangladesh</w:t>
            </w:r>
          </w:p>
        </w:tc>
      </w:tr>
      <w:tr>
        <w:tc>
          <w:tcPr>
            <w:tcW w:type="dxa" w:w="2835"/>
            <w:shd w:val="clear" w:color="auto" w:fill="DCE6F1"/>
          </w:tcPr>
          <w:p>
            <w:r>
              <w:rPr>
                <w:b/>
                <w:sz w:val="20"/>
              </w:rPr>
              <w:t>ABN</w:t>
            </w:r>
          </w:p>
        </w:tc>
        <w:tc>
          <w:tcPr>
            <w:tcW w:type="dxa" w:w="5669"/>
          </w:tcPr>
          <w:p>
            <w:r>
              <w:rPr>
                <w:sz w:val="20"/>
              </w:rPr>
              <w:t>30 678 901 235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Namoi Valley Chickpea Partnership</w:t>
            </w:r>
          </w:p>
        </w:tc>
      </w:tr>
      <w:tr>
        <w:tc>
          <w:tcPr>
            <w:tcW w:type="dxa" w:w="2835"/>
            <w:shd w:val="clear" w:color="auto" w:fill="DCE6F1"/>
          </w:tcPr>
          <w:p>
            <w:r>
              <w:rPr>
                <w:b/>
                <w:sz w:val="20"/>
              </w:rPr>
              <w:t>Trading Name</w:t>
            </w:r>
          </w:p>
        </w:tc>
        <w:tc>
          <w:tcPr>
            <w:tcW w:type="dxa" w:w="5669"/>
          </w:tcPr>
          <w:p>
            <w:r>
              <w:rPr>
                <w:sz w:val="20"/>
              </w:rPr>
              <w:t>Namoi Valley Chickpea Partnership</w:t>
            </w:r>
          </w:p>
        </w:tc>
      </w:tr>
      <w:tr>
        <w:tc>
          <w:tcPr>
            <w:tcW w:type="dxa" w:w="2835"/>
            <w:shd w:val="clear" w:color="auto" w:fill="DCE6F1"/>
          </w:tcPr>
          <w:p>
            <w:r>
              <w:rPr>
                <w:b/>
                <w:sz w:val="20"/>
              </w:rPr>
              <w:t>Address</w:t>
            </w:r>
          </w:p>
        </w:tc>
        <w:tc>
          <w:tcPr>
            <w:tcW w:type="dxa" w:w="5669"/>
          </w:tcPr>
          <w:p>
            <w:r>
              <w:rPr>
                <w:sz w:val="20"/>
              </w:rPr>
              <w:t>99 Newell Highway, Moree NSW 2400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Bruce and Helen Travers</w:t>
            </w:r>
          </w:p>
        </w:tc>
      </w:tr>
      <w:tr>
        <w:tc>
          <w:tcPr>
            <w:tcW w:type="dxa" w:w="2835"/>
            <w:shd w:val="clear" w:color="auto" w:fill="DCE6F1"/>
          </w:tcPr>
          <w:p>
            <w:r>
              <w:rPr>
                <w:b/>
                <w:sz w:val="20"/>
              </w:rPr>
              <w:t>Business Structure</w:t>
            </w:r>
          </w:p>
        </w:tc>
        <w:tc>
          <w:tcPr>
            <w:tcW w:type="dxa" w:w="5669"/>
          </w:tcPr>
          <w:p>
            <w:r>
              <w:rPr>
                <w:sz w:val="20"/>
              </w:rPr>
              <w:t>Partnership</w:t>
            </w:r>
          </w:p>
        </w:tc>
      </w:tr>
      <w:tr>
        <w:tc>
          <w:tcPr>
            <w:tcW w:type="dxa" w:w="2835"/>
            <w:shd w:val="clear" w:color="auto" w:fill="DCE6F1"/>
          </w:tcPr>
          <w:p>
            <w:r>
              <w:rPr>
                <w:b/>
                <w:sz w:val="20"/>
              </w:rPr>
              <w:t>Registration Number</w:t>
            </w:r>
          </w:p>
        </w:tc>
        <w:tc>
          <w:tcPr>
            <w:tcW w:type="dxa" w:w="5669"/>
          </w:tcPr>
          <w:p>
            <w:r>
              <w:rPr>
                <w:sz w:val="20"/>
              </w:rPr>
              <w:t>RE-NSW-2023-0044</w:t>
            </w:r>
          </w:p>
        </w:tc>
      </w:tr>
      <w:tr>
        <w:tc>
          <w:tcPr>
            <w:tcW w:type="dxa" w:w="2835"/>
            <w:shd w:val="clear" w:color="auto" w:fill="DCE6F1"/>
          </w:tcPr>
          <w:p>
            <w:r>
              <w:rPr>
                <w:b/>
                <w:sz w:val="20"/>
              </w:rPr>
              <w:t>Registration Expiry</w:t>
            </w:r>
          </w:p>
        </w:tc>
        <w:tc>
          <w:tcPr>
            <w:tcW w:type="dxa" w:w="5669"/>
          </w:tcPr>
          <w:p>
            <w:r>
              <w:rPr>
                <w:sz w:val="20"/>
              </w:rPr>
              <w:t>20 August 2026</w:t>
            </w:r>
          </w:p>
        </w:tc>
      </w:tr>
    </w:tbl>
    <w:p/>
    <w:p>
      <w:pPr>
        <w:pStyle w:val="Heading1"/>
      </w:pPr>
      <w:r>
        <w:rPr>
          <w:color w:val="1F497D"/>
          <w:sz w:val="26"/>
        </w:rPr>
        <w:t>2. Registered Export Operations</w:t>
      </w:r>
    </w:p>
    <w:p>
      <w:r>
        <w:rPr>
          <w:sz w:val="20"/>
        </w:rPr>
        <w:t>This establishment is registered to conduct export operations for chickpeas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Intake of bulk and bagged chickpeas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RE-NSW-2023-0044 is current and active. The establishment was granted registration on 21 August 2023 and the current registration period extends to 20 August 2026. There are no conditions, suspensions or reviews attached to this registration.</w:t>
      </w:r>
    </w:p>
    <w:p/>
    <w:p>
      <w:pPr>
        <w:pStyle w:val="Heading1"/>
      </w:pPr>
      <w:r>
        <w:rPr>
          <w:color w:val="1F497D"/>
          <w:sz w:val="26"/>
        </w:rPr>
        <w:t>4. Fit and Proper Person</w:t>
      </w:r>
    </w:p>
    <w:p>
      <w:r>
        <w:rPr>
          <w:sz w:val="20"/>
        </w:rPr>
        <w:t>Bruce and Helen Travers is the nominated responsible person for this registration. The establishment has been under continuous management since 2018. The entity is a partnership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22 on Plan DP 415868, located at 99 Newell Highway, Moree NSW 2400. The total registered area is 31.5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Bangladesh:</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Phytosanitary certificate issued by DAFF required for all consignments to Bangladesh</w:t>
            </w:r>
          </w:p>
        </w:tc>
      </w:tr>
      <w:tr>
        <w:tc>
          <w:tcPr>
            <w:tcW w:type="dxa" w:w="4703"/>
          </w:tcPr>
          <w:p>
            <w:r>
              <w:rPr>
                <w:sz w:val="20"/>
              </w:rPr>
              <w:t>Import Permit</w:t>
            </w:r>
          </w:p>
        </w:tc>
        <w:tc>
          <w:tcPr>
            <w:tcW w:type="dxa" w:w="4703"/>
          </w:tcPr>
          <w:p>
            <w:r>
              <w:rPr>
                <w:sz w:val="20"/>
              </w:rPr>
              <w:t>Valid import permit from Bangladesh competent authority must be obtained prior to shipment</w:t>
            </w:r>
          </w:p>
        </w:tc>
      </w:tr>
      <w:tr>
        <w:tc>
          <w:tcPr>
            <w:tcW w:type="dxa" w:w="4703"/>
            <w:shd w:val="clear" w:color="auto" w:fill="F2F2F2"/>
          </w:tcPr>
          <w:p>
            <w:r>
              <w:rPr>
                <w:sz w:val="20"/>
              </w:rPr>
              <w:t>Residue Compliance</w:t>
            </w:r>
          </w:p>
        </w:tc>
        <w:tc>
          <w:tcPr>
            <w:tcW w:type="dxa" w:w="4703"/>
            <w:shd w:val="clear" w:color="auto" w:fill="F2F2F2"/>
          </w:tcPr>
          <w:p>
            <w:r>
              <w:rPr>
                <w:sz w:val="20"/>
              </w:rPr>
              <w:t>Pesticide residues must comply with Bangladesh import MRL requirements</w:t>
            </w:r>
          </w:p>
        </w:tc>
      </w:tr>
      <w:tr>
        <w:tc>
          <w:tcPr>
            <w:tcW w:type="dxa" w:w="4703"/>
          </w:tcPr>
          <w:p>
            <w:r>
              <w:rPr>
                <w:sz w:val="20"/>
              </w:rPr>
              <w:t>Fumigation</w:t>
            </w:r>
          </w:p>
        </w:tc>
        <w:tc>
          <w:tcPr>
            <w:tcW w:type="dxa" w:w="4703"/>
          </w:tcPr>
          <w:p>
            <w:r>
              <w:rPr>
                <w:sz w:val="20"/>
              </w:rPr>
              <w:t>Post-harvest fumigation as required by importing country authority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Bruce and Helen Travers, as the responsible person for Namoi Valley Chickpea Partnership (RE RE-NSW-2023-0044),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Bruce and Helen Travers</w:t>
            </w:r>
          </w:p>
        </w:tc>
      </w:tr>
      <w:tr>
        <w:tc>
          <w:tcPr>
            <w:tcW w:type="dxa" w:w="2835"/>
            <w:shd w:val="clear" w:color="auto" w:fill="DCE6F1"/>
          </w:tcPr>
          <w:p>
            <w:r>
              <w:rPr>
                <w:b/>
                <w:sz w:val="20"/>
              </w:rPr>
              <w:t>Date</w:t>
            </w:r>
          </w:p>
        </w:tc>
        <w:tc>
          <w:tcPr>
            <w:tcW w:type="dxa" w:w="5669"/>
          </w:tcPr>
          <w:p>
            <w:r>
              <w:rPr>
                <w:sz w:val="20"/>
              </w:rPr>
              <w:t>23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