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Lockhart Grain and Pulse</w:t>
            </w:r>
          </w:p>
        </w:tc>
      </w:tr>
      <w:tr>
        <w:tc>
          <w:tcPr>
            <w:tcW w:type="dxa" w:w="3118"/>
            <w:shd w:val="clear" w:color="auto" w:fill="DCE6F1"/>
            <w:vAlign w:val="center"/>
          </w:tcPr>
          <w:p>
            <w:r>
              <w:rPr>
                <w:b/>
                <w:sz w:val="18"/>
              </w:rPr>
              <w:t>RE Number</w:t>
            </w:r>
          </w:p>
        </w:tc>
        <w:tc>
          <w:tcPr>
            <w:tcW w:type="dxa" w:w="6236"/>
            <w:vAlign w:val="center"/>
          </w:tcPr>
          <w:p>
            <w:r>
              <w:rPr>
                <w:sz w:val="18"/>
              </w:rPr>
              <w:t>RE-NSW-2023-0088</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7 Olympic Way, Lockhart NSW 2656</w:t>
            </w:r>
          </w:p>
        </w:tc>
      </w:tr>
      <w:tr>
        <w:tc>
          <w:tcPr>
            <w:tcW w:type="dxa" w:w="3118"/>
            <w:shd w:val="clear" w:color="auto" w:fill="DCE6F1"/>
            <w:vAlign w:val="center"/>
          </w:tcPr>
          <w:p>
            <w:r>
              <w:rPr>
                <w:b/>
                <w:sz w:val="18"/>
              </w:rPr>
              <w:t>Registered Commodity</w:t>
            </w:r>
          </w:p>
        </w:tc>
        <w:tc>
          <w:tcPr>
            <w:tcW w:type="dxa" w:w="6236"/>
            <w:vAlign w:val="center"/>
          </w:tcPr>
          <w:p>
            <w:r>
              <w:rPr>
                <w:sz w:val="18"/>
              </w:rPr>
              <w:t>Lentils</w:t>
            </w:r>
          </w:p>
        </w:tc>
      </w:tr>
      <w:tr>
        <w:tc>
          <w:tcPr>
            <w:tcW w:type="dxa" w:w="3118"/>
            <w:shd w:val="clear" w:color="auto" w:fill="DCE6F1"/>
            <w:vAlign w:val="center"/>
          </w:tcPr>
          <w:p>
            <w:r>
              <w:rPr>
                <w:b/>
                <w:sz w:val="18"/>
              </w:rPr>
              <w:t>Responsible Officer</w:t>
            </w:r>
          </w:p>
        </w:tc>
        <w:tc>
          <w:tcPr>
            <w:tcW w:type="dxa" w:w="6236"/>
            <w:vAlign w:val="center"/>
          </w:tcPr>
          <w:p>
            <w:r>
              <w:rPr>
                <w:sz w:val="18"/>
              </w:rPr>
              <w:t>Una Chambers</w:t>
            </w:r>
          </w:p>
        </w:tc>
      </w:tr>
      <w:tr>
        <w:tc>
          <w:tcPr>
            <w:tcW w:type="dxa" w:w="3118"/>
            <w:shd w:val="clear" w:color="auto" w:fill="DCE6F1"/>
            <w:vAlign w:val="center"/>
          </w:tcPr>
          <w:p>
            <w:r>
              <w:rPr>
                <w:b/>
                <w:sz w:val="18"/>
              </w:rPr>
              <w:t>Property Area</w:t>
            </w:r>
          </w:p>
        </w:tc>
        <w:tc>
          <w:tcPr>
            <w:tcW w:type="dxa" w:w="6236"/>
            <w:vAlign w:val="center"/>
          </w:tcPr>
          <w:p>
            <w:r>
              <w:rPr>
                <w:sz w:val="18"/>
              </w:rPr>
              <w:t>380.0 ha</w:t>
            </w:r>
          </w:p>
        </w:tc>
      </w:tr>
      <w:tr>
        <w:tc>
          <w:tcPr>
            <w:tcW w:type="dxa" w:w="3118"/>
            <w:shd w:val="clear" w:color="auto" w:fill="DCE6F1"/>
            <w:vAlign w:val="center"/>
          </w:tcPr>
          <w:p>
            <w:r>
              <w:rPr>
                <w:b/>
                <w:sz w:val="18"/>
              </w:rPr>
              <w:t>Year Established</w:t>
            </w:r>
          </w:p>
        </w:tc>
        <w:tc>
          <w:tcPr>
            <w:tcW w:type="dxa" w:w="6236"/>
            <w:vAlign w:val="center"/>
          </w:tcPr>
          <w:p>
            <w:r>
              <w:rPr>
                <w:sz w:val="18"/>
              </w:rPr>
              <w:t>2016</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13 July 2024</w:t>
            </w:r>
          </w:p>
        </w:tc>
      </w:tr>
      <w:tr>
        <w:tc>
          <w:tcPr>
            <w:tcW w:type="dxa" w:w="3118"/>
            <w:shd w:val="clear" w:color="auto" w:fill="DCE6F1"/>
            <w:vAlign w:val="center"/>
          </w:tcPr>
          <w:p>
            <w:r>
              <w:rPr>
                <w:b/>
                <w:sz w:val="18"/>
              </w:rPr>
              <w:t>Next Review</w:t>
            </w:r>
          </w:p>
        </w:tc>
        <w:tc>
          <w:tcPr>
            <w:tcW w:type="dxa" w:w="6236"/>
            <w:vAlign w:val="center"/>
          </w:tcPr>
          <w:p>
            <w:r>
              <w:rPr>
                <w:sz w:val="18"/>
              </w:rPr>
              <w:t>13 July 2026</w:t>
            </w:r>
          </w:p>
        </w:tc>
      </w:tr>
    </w:tbl>
    <w:p/>
    <w:p>
      <w:pPr>
        <w:pStyle w:val="Heading1"/>
      </w:pPr>
      <w:r>
        <w:rPr>
          <w:color w:val="1F497D"/>
        </w:rPr>
        <w:t>1.  OVERVIEW</w:t>
      </w:r>
    </w:p>
    <w:p>
      <w:r>
        <w:rPr>
          <w:b w:val="0"/>
          <w:i w:val="0"/>
          <w:sz w:val="20"/>
        </w:rPr>
        <w:t>Lockhart Grain and Pulse is a registered export establishment located at 7 Olympic Way, Lockhart NSW 2656, NSW. The establishment holds RE Number RE-NSW-2023-0088 and is registered to handle and export Lentils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Lentils.</w:t>
      </w:r>
    </w:p>
    <w:p>
      <w:pPr>
        <w:pStyle w:val="Heading2"/>
      </w:pPr>
      <w:r>
        <w:t>4.2  Lighting (C2)</w:t>
      </w:r>
    </w:p>
    <w:p>
      <w:r>
        <w:rPr>
          <w:b w:val="0"/>
          <w:i w:val="0"/>
          <w:sz w:val="20"/>
        </w:rPr>
        <w:t>LED high-bay luminaires throughout: 500 lux processing, 400 lux storage, 380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1 toilet, 1 hand basin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The building envelope was sealed at original construction (2016). At the most recent maintenance inspection, the following areas requiring attention were noted: gaps of 15–35 mm at the north roof-wall junction where roofing sheets meet the gable framing; three unsealed conduit penetrations on the east wall (~20 mm dia. each); ventilation louvres on the south wall retain the original fibreglass insect screen — worn with several tears. Temporary spray-foam applied to the gable gaps.</w:t>
      </w:r>
    </w:p>
    <w:p>
      <w:pPr>
        <w:pStyle w:val="Heading2"/>
      </w:pPr>
      <w:r>
        <w:t>5.3  Waste Disposal Design (C6)</w:t>
      </w:r>
    </w:p>
    <w:p>
      <w:r>
        <w:rPr>
          <w:b w:val="0"/>
          <w:i w:val="0"/>
          <w:sz w:val="20"/>
        </w:rPr>
        <w:t>Liquid waste via flush-recessed floor drains to bunded underground sump (1500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NSWSTE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(WMP-1601 Rev 2):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lentils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Una Chambers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13 July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