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Lockyer Valley Grains</w:t>
            </w:r>
          </w:p>
        </w:tc>
      </w:tr>
      <w:tr>
        <w:tc>
          <w:tcPr>
            <w:tcW w:type="dxa" w:w="4536"/>
            <w:shd w:val="clear" w:color="auto" w:fill="1F497D"/>
            <w:vAlign w:val="center"/>
          </w:tcPr>
          <w:p>
            <w:r>
              <w:rPr>
                <w:b/>
                <w:color w:val="FFFFFF"/>
                <w:sz w:val="18"/>
              </w:rPr>
              <w:t>RE Number</w:t>
            </w:r>
          </w:p>
        </w:tc>
        <w:tc>
          <w:tcPr>
            <w:tcW w:type="dxa" w:w="4536"/>
          </w:tcPr>
          <w:p>
            <w:r>
              <w:rPr>
                <w:sz w:val="18"/>
              </w:rPr>
              <w:t>RE-QLD-2021-0178</w:t>
            </w:r>
          </w:p>
        </w:tc>
      </w:tr>
      <w:tr>
        <w:tc>
          <w:tcPr>
            <w:tcW w:type="dxa" w:w="4536"/>
            <w:shd w:val="clear" w:color="auto" w:fill="1F497D"/>
            <w:vAlign w:val="center"/>
          </w:tcPr>
          <w:p>
            <w:r>
              <w:rPr>
                <w:b/>
                <w:color w:val="FFFFFF"/>
                <w:sz w:val="18"/>
              </w:rPr>
              <w:t>State / Territory</w:t>
            </w:r>
          </w:p>
        </w:tc>
        <w:tc>
          <w:tcPr>
            <w:tcW w:type="dxa" w:w="4536"/>
          </w:tcPr>
          <w:p>
            <w:r>
              <w:rPr>
                <w:sz w:val="18"/>
              </w:rPr>
              <w:t>QLD</w:t>
            </w:r>
          </w:p>
        </w:tc>
      </w:tr>
      <w:tr>
        <w:tc>
          <w:tcPr>
            <w:tcW w:type="dxa" w:w="4536"/>
            <w:shd w:val="clear" w:color="auto" w:fill="1F497D"/>
            <w:vAlign w:val="center"/>
          </w:tcPr>
          <w:p>
            <w:r>
              <w:rPr>
                <w:b/>
                <w:color w:val="FFFFFF"/>
                <w:sz w:val="18"/>
              </w:rPr>
              <w:t>Property Address</w:t>
            </w:r>
          </w:p>
        </w:tc>
        <w:tc>
          <w:tcPr>
            <w:tcW w:type="dxa" w:w="4536"/>
          </w:tcPr>
          <w:p>
            <w:r>
              <w:rPr>
                <w:sz w:val="18"/>
              </w:rPr>
              <w:t>78 Warrego Highway, Gatton QLD 4343</w:t>
            </w:r>
          </w:p>
        </w:tc>
      </w:tr>
      <w:tr>
        <w:tc>
          <w:tcPr>
            <w:tcW w:type="dxa" w:w="4536"/>
            <w:shd w:val="clear" w:color="auto" w:fill="1F497D"/>
            <w:vAlign w:val="center"/>
          </w:tcPr>
          <w:p>
            <w:r>
              <w:rPr>
                <w:b/>
                <w:color w:val="FFFFFF"/>
                <w:sz w:val="18"/>
              </w:rPr>
              <w:t>Registered Commodity</w:t>
            </w:r>
          </w:p>
        </w:tc>
        <w:tc>
          <w:tcPr>
            <w:tcW w:type="dxa" w:w="4536"/>
          </w:tcPr>
          <w:p>
            <w:r>
              <w:rPr>
                <w:sz w:val="18"/>
              </w:rPr>
              <w:t>Barley</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Tom Birch</w:t>
            </w:r>
          </w:p>
        </w:tc>
      </w:tr>
      <w:tr>
        <w:tc>
          <w:tcPr>
            <w:tcW w:type="dxa" w:w="4536"/>
            <w:shd w:val="clear" w:color="auto" w:fill="1F497D"/>
            <w:vAlign w:val="center"/>
          </w:tcPr>
          <w:p>
            <w:r>
              <w:rPr>
                <w:b/>
                <w:color w:val="FFFFFF"/>
                <w:sz w:val="18"/>
              </w:rPr>
              <w:t>Property Area</w:t>
            </w:r>
          </w:p>
        </w:tc>
        <w:tc>
          <w:tcPr>
            <w:tcW w:type="dxa" w:w="4536"/>
          </w:tcPr>
          <w:p>
            <w:r>
              <w:rPr>
                <w:sz w:val="18"/>
              </w:rPr>
              <w:t>410.0 ha</w:t>
            </w:r>
          </w:p>
        </w:tc>
      </w:tr>
      <w:tr>
        <w:tc>
          <w:tcPr>
            <w:tcW w:type="dxa" w:w="4536"/>
            <w:shd w:val="clear" w:color="auto" w:fill="1F497D"/>
            <w:vAlign w:val="center"/>
          </w:tcPr>
          <w:p>
            <w:r>
              <w:rPr>
                <w:b/>
                <w:color w:val="FFFFFF"/>
                <w:sz w:val="18"/>
              </w:rPr>
              <w:t>Document Version</w:t>
            </w:r>
          </w:p>
        </w:tc>
        <w:tc>
          <w:tcPr>
            <w:tcW w:type="dxa" w:w="4536"/>
          </w:tcPr>
          <w:p>
            <w:r>
              <w:rPr>
                <w:sz w:val="18"/>
              </w:rPr>
              <w:t>3.3</w:t>
            </w:r>
          </w:p>
        </w:tc>
      </w:tr>
      <w:tr>
        <w:tc>
          <w:tcPr>
            <w:tcW w:type="dxa" w:w="4536"/>
            <w:shd w:val="clear" w:color="auto" w:fill="1F497D"/>
            <w:vAlign w:val="center"/>
          </w:tcPr>
          <w:p>
            <w:r>
              <w:rPr>
                <w:b/>
                <w:color w:val="FFFFFF"/>
                <w:sz w:val="18"/>
              </w:rPr>
              <w:t>Plan Date</w:t>
            </w:r>
          </w:p>
        </w:tc>
        <w:tc>
          <w:tcPr>
            <w:tcW w:type="dxa" w:w="4536"/>
          </w:tcPr>
          <w:p>
            <w:r>
              <w:rPr>
                <w:sz w:val="18"/>
              </w:rPr>
              <w:t>21 February 2025</w:t>
            </w:r>
          </w:p>
        </w:tc>
      </w:tr>
      <w:tr>
        <w:tc>
          <w:tcPr>
            <w:tcW w:type="dxa" w:w="4536"/>
            <w:shd w:val="clear" w:color="auto" w:fill="1F497D"/>
            <w:vAlign w:val="center"/>
          </w:tcPr>
          <w:p>
            <w:r>
              <w:rPr>
                <w:b/>
                <w:color w:val="FFFFFF"/>
                <w:sz w:val="18"/>
              </w:rPr>
              <w:t>Next Review</w:t>
            </w:r>
          </w:p>
        </w:tc>
        <w:tc>
          <w:tcPr>
            <w:tcW w:type="dxa" w:w="4536"/>
          </w:tcPr>
          <w:p>
            <w:r>
              <w:rPr>
                <w:sz w:val="18"/>
              </w:rPr>
              <w:t>21 February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Cleaning and hygiene activities are to be carried out as required, in accordance with verbal direction from the establishment manager. Staff are briefed on hygiene expectations during induction.</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Barley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Tom Birch</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All areas</w:t>
            </w:r>
          </w:p>
        </w:tc>
        <w:tc>
          <w:tcPr>
            <w:tcW w:type="dxa" w:w="1512"/>
            <w:shd w:val="clear" w:color="auto" w:fill="FFFFFF"/>
            <w:vAlign w:val="top"/>
            <w:tcW w:w="1417" w:type="dxa"/>
          </w:tcPr>
          <w:p>
            <w:r>
              <w:rPr>
                <w:sz w:val="18"/>
              </w:rPr>
              <w:t>As required</w:t>
            </w:r>
          </w:p>
        </w:tc>
        <w:tc>
          <w:tcPr>
            <w:tcW w:type="dxa" w:w="1512"/>
            <w:shd w:val="clear" w:color="auto" w:fill="FFFFFF"/>
            <w:vAlign w:val="top"/>
            <w:tcW w:w="3118" w:type="dxa"/>
          </w:tcPr>
          <w:p>
            <w:r>
              <w:rPr>
                <w:sz w:val="18"/>
              </w:rPr>
              <w:t>Clean areas as directed by supervisor. No formal frequency schedule applies.</w:t>
            </w:r>
          </w:p>
        </w:tc>
        <w:tc>
          <w:tcPr>
            <w:tcW w:type="dxa" w:w="1512"/>
            <w:shd w:val="clear" w:color="auto" w:fill="FFFFFF"/>
            <w:vAlign w:val="top"/>
            <w:tcW w:w="1814" w:type="dxa"/>
          </w:tcPr>
          <w:p>
            <w:r>
              <w:rPr>
                <w:sz w:val="18"/>
              </w:rPr>
              <w:t>As required</w:t>
            </w:r>
          </w:p>
        </w:tc>
        <w:tc>
          <w:tcPr>
            <w:tcW w:type="dxa" w:w="1512"/>
            <w:shd w:val="clear" w:color="auto" w:fill="FFFFFF"/>
            <w:vAlign w:val="top"/>
            <w:tcW w:w="1587" w:type="dxa"/>
          </w:tcPr>
          <w:p>
            <w:r>
              <w:rPr>
                <w:sz w:val="18"/>
              </w:rPr>
              <w:t>All staff</w:t>
            </w:r>
          </w:p>
        </w:tc>
        <w:tc>
          <w:tcPr>
            <w:tcW w:type="dxa" w:w="1512"/>
            <w:shd w:val="clear" w:color="auto" w:fill="FFFFFF"/>
            <w:vAlign w:val="top"/>
            <w:tcW w:w="1530" w:type="dxa"/>
          </w:tcPr>
          <w:p>
            <w:r>
              <w:rPr>
                <w:sz w:val="18"/>
              </w:rPr>
              <w:t>Supervisor verbal confirmation</w:t>
            </w:r>
          </w:p>
        </w:tc>
      </w:tr>
    </w:tbl>
    <w:p/>
    <w:p>
      <w:pPr>
        <w:pStyle w:val="Heading1"/>
      </w:pPr>
      <w:r>
        <w:rPr>
          <w:color w:val="1F497D"/>
        </w:rPr>
        <w:t>5.  AREA-SPECIFIC CLEANING PROCEDURES (SOPs)</w:t>
      </w:r>
    </w:p>
    <w:p>
      <w:r>
        <w:rPr>
          <w:i/>
          <w:color w:val="555555"/>
          <w:sz w:val="18"/>
        </w:rPr>
        <w:t>Detailed step-by-step procedures for each area of the establishment</w:t>
      </w:r>
    </w:p>
    <w:p/>
    <w:p>
      <w:r>
        <w:rPr>
          <w:b w:val="0"/>
          <w:i w:val="0"/>
          <w:sz w:val="20"/>
        </w:rPr>
        <w:t>Detailed area procedures are provided verbally by the supervisor or are contained in the General Hygiene Manual.</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21 February 2025. All production areas, storage facilities, and amenities were confirmed clean and free of product residue, pest activity, and hygiene deficiencies.</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Tom Birch</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21 February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21 February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