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RE-QLD-2022-0144</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18 June 2025</w:t>
            </w:r>
          </w:p>
        </w:tc>
      </w:tr>
      <w:tr>
        <w:tc>
          <w:tcPr>
            <w:tcW w:type="dxa" w:w="2835"/>
            <w:shd w:val="clear" w:color="auto" w:fill="DCE6F1"/>
          </w:tcPr>
          <w:p>
            <w:r>
              <w:rPr>
                <w:b/>
                <w:sz w:val="20"/>
              </w:rPr>
              <w:t>Commodity</w:t>
            </w:r>
          </w:p>
        </w:tc>
        <w:tc>
          <w:tcPr>
            <w:tcW w:type="dxa" w:w="5669"/>
          </w:tcPr>
          <w:p>
            <w:r>
              <w:rPr>
                <w:sz w:val="20"/>
              </w:rPr>
              <w:t>Sorghum</w:t>
            </w:r>
          </w:p>
        </w:tc>
      </w:tr>
      <w:tr>
        <w:tc>
          <w:tcPr>
            <w:tcW w:type="dxa" w:w="2835"/>
            <w:shd w:val="clear" w:color="auto" w:fill="DCE6F1"/>
          </w:tcPr>
          <w:p>
            <w:r>
              <w:rPr>
                <w:b/>
                <w:sz w:val="20"/>
              </w:rPr>
              <w:t>Destination</w:t>
            </w:r>
          </w:p>
        </w:tc>
        <w:tc>
          <w:tcPr>
            <w:tcW w:type="dxa" w:w="5669"/>
          </w:tcPr>
          <w:p>
            <w:r>
              <w:rPr>
                <w:sz w:val="20"/>
              </w:rPr>
              <w:t>Indonesia</w:t>
            </w:r>
          </w:p>
        </w:tc>
      </w:tr>
      <w:tr>
        <w:tc>
          <w:tcPr>
            <w:tcW w:type="dxa" w:w="2835"/>
            <w:shd w:val="clear" w:color="auto" w:fill="DCE6F1"/>
          </w:tcPr>
          <w:p>
            <w:r>
              <w:rPr>
                <w:b/>
                <w:sz w:val="20"/>
              </w:rPr>
              <w:t>ABN</w:t>
            </w:r>
          </w:p>
        </w:tc>
        <w:tc>
          <w:tcPr>
            <w:tcW w:type="dxa" w:w="5669"/>
          </w:tcPr>
          <w:p>
            <w:r>
              <w:rPr>
                <w:sz w:val="20"/>
              </w:rPr>
              <w:t>28 456 789 013</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Capricorn Coast Grain Pty Ltd</w:t>
            </w:r>
          </w:p>
        </w:tc>
      </w:tr>
      <w:tr>
        <w:tc>
          <w:tcPr>
            <w:tcW w:type="dxa" w:w="2835"/>
            <w:shd w:val="clear" w:color="auto" w:fill="DCE6F1"/>
          </w:tcPr>
          <w:p>
            <w:r>
              <w:rPr>
                <w:b/>
                <w:sz w:val="20"/>
              </w:rPr>
              <w:t>Trading Name</w:t>
            </w:r>
          </w:p>
        </w:tc>
        <w:tc>
          <w:tcPr>
            <w:tcW w:type="dxa" w:w="5669"/>
          </w:tcPr>
          <w:p>
            <w:r>
              <w:rPr>
                <w:sz w:val="20"/>
              </w:rPr>
              <w:t>Capricorn Coast Grain Pty Ltd</w:t>
            </w:r>
          </w:p>
        </w:tc>
      </w:tr>
      <w:tr>
        <w:tc>
          <w:tcPr>
            <w:tcW w:type="dxa" w:w="2835"/>
            <w:shd w:val="clear" w:color="auto" w:fill="DCE6F1"/>
          </w:tcPr>
          <w:p>
            <w:r>
              <w:rPr>
                <w:b/>
                <w:sz w:val="20"/>
              </w:rPr>
              <w:t>Address</w:t>
            </w:r>
          </w:p>
        </w:tc>
        <w:tc>
          <w:tcPr>
            <w:tcW w:type="dxa" w:w="5669"/>
          </w:tcPr>
          <w:p>
            <w:r>
              <w:rPr>
                <w:sz w:val="20"/>
              </w:rPr>
              <w:t>18 Rockhampton Road, Yeppoon QLD 4703</w:t>
            </w:r>
          </w:p>
        </w:tc>
      </w:tr>
      <w:tr>
        <w:tc>
          <w:tcPr>
            <w:tcW w:type="dxa" w:w="2835"/>
            <w:shd w:val="clear" w:color="auto" w:fill="DCE6F1"/>
          </w:tcPr>
          <w:p>
            <w:r>
              <w:rPr>
                <w:b/>
                <w:sz w:val="20"/>
              </w:rPr>
              <w:t>State/Territory</w:t>
            </w:r>
          </w:p>
        </w:tc>
        <w:tc>
          <w:tcPr>
            <w:tcW w:type="dxa" w:w="5669"/>
          </w:tcPr>
          <w:p>
            <w:r>
              <w:rPr>
                <w:sz w:val="20"/>
              </w:rPr>
              <w:t>QLD</w:t>
            </w:r>
          </w:p>
        </w:tc>
      </w:tr>
      <w:tr>
        <w:tc>
          <w:tcPr>
            <w:tcW w:type="dxa" w:w="2835"/>
            <w:shd w:val="clear" w:color="auto" w:fill="DCE6F1"/>
          </w:tcPr>
          <w:p>
            <w:r>
              <w:rPr>
                <w:b/>
                <w:sz w:val="20"/>
              </w:rPr>
              <w:t>Contact Person</w:t>
            </w:r>
          </w:p>
        </w:tc>
        <w:tc>
          <w:tcPr>
            <w:tcW w:type="dxa" w:w="5669"/>
          </w:tcPr>
          <w:p>
            <w:r>
              <w:rPr>
                <w:sz w:val="20"/>
              </w:rPr>
              <w:t>Joshua Keller</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RE-QLD-2022-0144</w:t>
            </w:r>
          </w:p>
        </w:tc>
      </w:tr>
      <w:tr>
        <w:tc>
          <w:tcPr>
            <w:tcW w:type="dxa" w:w="2835"/>
            <w:shd w:val="clear" w:color="auto" w:fill="DCE6F1"/>
          </w:tcPr>
          <w:p>
            <w:r>
              <w:rPr>
                <w:b/>
                <w:sz w:val="20"/>
              </w:rPr>
              <w:t>Registration Expiry</w:t>
            </w:r>
          </w:p>
        </w:tc>
        <w:tc>
          <w:tcPr>
            <w:tcW w:type="dxa" w:w="5669"/>
          </w:tcPr>
          <w:p>
            <w:r>
              <w:rPr>
                <w:sz w:val="20"/>
              </w:rPr>
              <w:t>17 August 2025</w:t>
            </w:r>
          </w:p>
        </w:tc>
      </w:tr>
    </w:tbl>
    <w:p/>
    <w:p>
      <w:pPr>
        <w:pStyle w:val="Heading1"/>
      </w:pPr>
      <w:r>
        <w:rPr>
          <w:color w:val="1F497D"/>
          <w:sz w:val="26"/>
        </w:rPr>
        <w:t>2. Registered Export Operations</w:t>
      </w:r>
    </w:p>
    <w:p>
      <w:r>
        <w:rPr>
          <w:sz w:val="20"/>
        </w:rPr>
        <w:t>This establishment is registered to export sorghum (grain). Operations have expanded to include contract receival services for neighbouring farms, including weighbridge services, drying, and bagging for domestic sale. These contract activities are integrated with the export operation and use shared receival infrastructure.</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Sorghum receival</w:t>
            </w:r>
          </w:p>
        </w:tc>
        <w:tc>
          <w:tcPr>
            <w:tcW w:type="dxa" w:w="3135"/>
            <w:shd w:val="clear" w:color="auto" w:fill="F2F2F2"/>
          </w:tcPr>
          <w:p>
            <w:r>
              <w:rPr>
                <w:sz w:val="20"/>
              </w:rPr>
              <w:t>Registered sorghum intake for export</w:t>
            </w:r>
          </w:p>
        </w:tc>
        <w:tc>
          <w:tcPr>
            <w:tcW w:type="dxa" w:w="3135"/>
            <w:shd w:val="clear" w:color="auto" w:fill="F2F2F2"/>
          </w:tcPr>
          <w:p>
            <w:r>
              <w:rPr>
                <w:sz w:val="20"/>
              </w:rPr>
              <w:t>Within scope</w:t>
            </w:r>
          </w:p>
        </w:tc>
      </w:tr>
      <w:tr>
        <w:tc>
          <w:tcPr>
            <w:tcW w:type="dxa" w:w="3135"/>
          </w:tcPr>
          <w:p>
            <w:r>
              <w:rPr>
                <w:sz w:val="20"/>
              </w:rPr>
              <w:t>Contract receival</w:t>
            </w:r>
          </w:p>
        </w:tc>
        <w:tc>
          <w:tcPr>
            <w:tcW w:type="dxa" w:w="3135"/>
          </w:tcPr>
          <w:p>
            <w:r>
              <w:rPr>
                <w:sz w:val="20"/>
              </w:rPr>
              <w:t>Third-party receival services — weighbridge and intake</w:t>
            </w:r>
          </w:p>
        </w:tc>
        <w:tc>
          <w:tcPr>
            <w:tcW w:type="dxa" w:w="3135"/>
          </w:tcPr>
          <w:p>
            <w:r>
              <w:rPr>
                <w:sz w:val="20"/>
              </w:rPr>
              <w:t>Not registered</w:t>
            </w:r>
          </w:p>
        </w:tc>
      </w:tr>
      <w:tr>
        <w:tc>
          <w:tcPr>
            <w:tcW w:type="dxa" w:w="3135"/>
            <w:shd w:val="clear" w:color="auto" w:fill="F2F2F2"/>
          </w:tcPr>
          <w:p>
            <w:r>
              <w:rPr>
                <w:sz w:val="20"/>
              </w:rPr>
              <w:t>Drying</w:t>
            </w:r>
          </w:p>
        </w:tc>
        <w:tc>
          <w:tcPr>
            <w:tcW w:type="dxa" w:w="3135"/>
            <w:shd w:val="clear" w:color="auto" w:fill="F2F2F2"/>
          </w:tcPr>
          <w:p>
            <w:r>
              <w:rPr>
                <w:sz w:val="20"/>
              </w:rPr>
              <w:t>High-temperature drying for domestic-grade product</w:t>
            </w:r>
          </w:p>
        </w:tc>
        <w:tc>
          <w:tcPr>
            <w:tcW w:type="dxa" w:w="3135"/>
            <w:shd w:val="clear" w:color="auto" w:fill="F2F2F2"/>
          </w:tcPr>
          <w:p>
            <w:r>
              <w:rPr>
                <w:sz w:val="20"/>
              </w:rPr>
              <w:t>Not registered</w:t>
            </w:r>
          </w:p>
        </w:tc>
      </w:tr>
      <w:tr>
        <w:tc>
          <w:tcPr>
            <w:tcW w:type="dxa" w:w="3135"/>
          </w:tcPr>
          <w:p>
            <w:r>
              <w:rPr>
                <w:sz w:val="20"/>
              </w:rPr>
              <w:t>Bagging</w:t>
            </w:r>
          </w:p>
        </w:tc>
        <w:tc>
          <w:tcPr>
            <w:tcW w:type="dxa" w:w="3135"/>
          </w:tcPr>
          <w:p>
            <w:r>
              <w:rPr>
                <w:sz w:val="20"/>
              </w:rPr>
              <w:t>Packaging into 25 kg bags for domestic distribution</w:t>
            </w:r>
          </w:p>
        </w:tc>
        <w:tc>
          <w:tcPr>
            <w:tcW w:type="dxa" w:w="3135"/>
          </w:tcPr>
          <w:p>
            <w:r>
              <w:rPr>
                <w:sz w:val="20"/>
              </w:rPr>
              <w:t>Not registered</w:t>
            </w:r>
          </w:p>
        </w:tc>
      </w:tr>
      <w:tr>
        <w:tc>
          <w:tcPr>
            <w:tcW w:type="dxa" w:w="3135"/>
            <w:shd w:val="clear" w:color="auto" w:fill="F2F2F2"/>
          </w:tcPr>
          <w:p>
            <w:r>
              <w:rPr>
                <w:sz w:val="20"/>
              </w:rPr>
              <w:t>Dispatch</w:t>
            </w:r>
          </w:p>
        </w:tc>
        <w:tc>
          <w:tcPr>
            <w:tcW w:type="dxa" w:w="3135"/>
            <w:shd w:val="clear" w:color="auto" w:fill="F2F2F2"/>
          </w:tcPr>
          <w:p>
            <w:r>
              <w:rPr>
                <w:sz w:val="20"/>
              </w:rPr>
              <w:t>Export and domestic dispatch from shared dock</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RE-QLD-2022-0144 is current and active. The establishment was granted registration on 18 August 2022 and the current registration period extends to 17 August 2025. There are no conditions, suspensions or reviews attached to this registration.</w:t>
      </w:r>
    </w:p>
    <w:p/>
    <w:p>
      <w:pPr>
        <w:pStyle w:val="Heading1"/>
      </w:pPr>
      <w:r>
        <w:rPr>
          <w:color w:val="1F497D"/>
          <w:sz w:val="26"/>
        </w:rPr>
        <w:t>4. Fit and Proper Person</w:t>
      </w:r>
    </w:p>
    <w:p>
      <w:r>
        <w:rPr>
          <w:sz w:val="20"/>
        </w:rPr>
        <w:t>Joshua Keller is the nominated responsible person for this registration. The establishment has been under continuous management since 2013.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establishment is located at 18 Rockhampton Road, Yeppoon QLD 4703. All export operations are conducted from the farm site. A site plan is maintained on file.</w:t>
      </w:r>
    </w:p>
    <w:p/>
    <w:p>
      <w:pPr>
        <w:pStyle w:val="Heading1"/>
      </w:pPr>
      <w:r>
        <w:rPr>
          <w:color w:val="1F497D"/>
          <w:sz w:val="26"/>
        </w:rPr>
        <w:t>6. Features, Facilities and Adjoining Sites</w:t>
      </w:r>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Mains connected</w:t>
            </w:r>
          </w:p>
        </w:tc>
      </w:tr>
      <w:tr>
        <w:tc>
          <w:tcPr>
            <w:tcW w:type="dxa" w:w="4703"/>
          </w:tcPr>
          <w:p>
            <w:r>
              <w:rPr>
                <w:sz w:val="20"/>
              </w:rPr>
              <w:t>Water</w:t>
            </w:r>
          </w:p>
        </w:tc>
        <w:tc>
          <w:tcPr>
            <w:tcW w:type="dxa" w:w="4703"/>
          </w:tcPr>
          <w:p>
            <w:r>
              <w:rPr>
                <w:sz w:val="20"/>
              </w:rPr>
              <w:t>Mains and tank water</w:t>
            </w:r>
          </w:p>
        </w:tc>
      </w:tr>
      <w:tr>
        <w:tc>
          <w:tcPr>
            <w:tcW w:type="dxa" w:w="4703"/>
            <w:shd w:val="clear" w:color="auto" w:fill="F2F2F2"/>
          </w:tcPr>
          <w:p>
            <w:r>
              <w:rPr>
                <w:sz w:val="20"/>
              </w:rPr>
              <w:t>Phone/internet</w:t>
            </w:r>
          </w:p>
        </w:tc>
        <w:tc>
          <w:tcPr>
            <w:tcW w:type="dxa" w:w="4703"/>
            <w:shd w:val="clear" w:color="auto" w:fill="F2F2F2"/>
          </w:tcPr>
          <w:p>
            <w:r>
              <w:rPr>
                <w:sz w:val="20"/>
              </w:rPr>
              <w:t>NBN connected</w:t>
            </w:r>
          </w:p>
        </w:tc>
      </w:tr>
      <w:tr>
        <w:tc>
          <w:tcPr>
            <w:tcW w:type="dxa" w:w="4703"/>
          </w:tcPr>
          <w:p>
            <w:r>
              <w:rPr>
                <w:sz w:val="20"/>
              </w:rPr>
              <w:t>Weighbridge</w:t>
            </w:r>
          </w:p>
        </w:tc>
        <w:tc>
          <w:tcPr>
            <w:tcW w:type="dxa" w:w="4703"/>
          </w:tcPr>
          <w:p>
            <w:r>
              <w:rPr>
                <w:sz w:val="20"/>
              </w:rPr>
              <w:t>Truck scale installed</w:t>
            </w:r>
          </w:p>
        </w:tc>
      </w:tr>
    </w:tbl>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sorghum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sorghum.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Indonesia: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BARANTAN import permit conditions apply</w:t>
            </w:r>
          </w:p>
        </w:tc>
      </w:tr>
      <w:tr>
        <w:tc>
          <w:tcPr>
            <w:tcW w:type="dxa" w:w="4703"/>
          </w:tcPr>
          <w:p>
            <w:r>
              <w:rPr>
                <w:sz w:val="20"/>
              </w:rPr>
              <w:t>Fumigation</w:t>
            </w:r>
          </w:p>
        </w:tc>
        <w:tc>
          <w:tcPr>
            <w:tcW w:type="dxa" w:w="4703"/>
          </w:tcPr>
          <w:p>
            <w:r>
              <w:rPr>
                <w:sz w:val="20"/>
              </w:rPr>
              <w:t>Approved fumigation with supporting certificate</w:t>
            </w:r>
          </w:p>
        </w:tc>
      </w:tr>
      <w:tr>
        <w:tc>
          <w:tcPr>
            <w:tcW w:type="dxa" w:w="4703"/>
            <w:shd w:val="clear" w:color="auto" w:fill="F2F2F2"/>
          </w:tcPr>
          <w:p>
            <w:r>
              <w:rPr>
                <w:sz w:val="20"/>
              </w:rPr>
              <w:t>Aflatoxin</w:t>
            </w:r>
          </w:p>
        </w:tc>
        <w:tc>
          <w:tcPr>
            <w:tcW w:type="dxa" w:w="4703"/>
            <w:shd w:val="clear" w:color="auto" w:fill="F2F2F2"/>
          </w:tcPr>
          <w:p>
            <w:r>
              <w:rPr>
                <w:sz w:val="20"/>
              </w:rPr>
              <w:t>Total aflatoxin ≤15 ppb per BPOM regulations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Joshua Keller, as the responsible person for Capricorn Coast Grain Pty Ltd (RE RE-QLD-2022-0144),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Joshua Keller</w:t>
            </w:r>
          </w:p>
        </w:tc>
      </w:tr>
      <w:tr>
        <w:tc>
          <w:tcPr>
            <w:tcW w:type="dxa" w:w="2835"/>
            <w:shd w:val="clear" w:color="auto" w:fill="DCE6F1"/>
          </w:tcPr>
          <w:p>
            <w:r>
              <w:rPr>
                <w:b/>
                <w:sz w:val="20"/>
              </w:rPr>
              <w:t>Date</w:t>
            </w:r>
          </w:p>
        </w:tc>
        <w:tc>
          <w:tcPr>
            <w:tcW w:type="dxa" w:w="5669"/>
          </w:tcPr>
          <w:p>
            <w:r>
              <w:rPr>
                <w:sz w:val="20"/>
              </w:rPr>
              <w:t>18 June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