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Condamine Pulse</w:t>
            </w:r>
          </w:p>
        </w:tc>
      </w:tr>
      <w:tr>
        <w:tc>
          <w:tcPr>
            <w:tcW w:type="dxa" w:w="4536"/>
            <w:shd w:val="clear" w:color="auto" w:fill="1F497D"/>
            <w:vAlign w:val="center"/>
          </w:tcPr>
          <w:p>
            <w:r>
              <w:rPr>
                <w:b/>
                <w:color w:val="FFFFFF"/>
                <w:sz w:val="18"/>
              </w:rPr>
              <w:t>RE Number</w:t>
            </w:r>
          </w:p>
        </w:tc>
        <w:tc>
          <w:tcPr>
            <w:tcW w:type="dxa" w:w="4536"/>
          </w:tcPr>
          <w:p>
            <w:r>
              <w:rPr>
                <w:sz w:val="18"/>
              </w:rPr>
              <w:t>RE-QLD-2022-0177</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8 Cunningham Highway, Condamine QLD 4416</w:t>
            </w:r>
          </w:p>
        </w:tc>
      </w:tr>
      <w:tr>
        <w:tc>
          <w:tcPr>
            <w:tcW w:type="dxa" w:w="4536"/>
            <w:shd w:val="clear" w:color="auto" w:fill="1F497D"/>
            <w:vAlign w:val="center"/>
          </w:tcPr>
          <w:p>
            <w:r>
              <w:rPr>
                <w:b/>
                <w:color w:val="FFFFFF"/>
                <w:sz w:val="18"/>
              </w:rPr>
              <w:t>Registered Commodity</w:t>
            </w:r>
          </w:p>
        </w:tc>
        <w:tc>
          <w:tcPr>
            <w:tcW w:type="dxa" w:w="4536"/>
          </w:tcPr>
          <w:p>
            <w:r>
              <w:rPr>
                <w:sz w:val="18"/>
              </w:rPr>
              <w:t>Mangoes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Lee Chandra</w:t>
            </w:r>
          </w:p>
        </w:tc>
      </w:tr>
      <w:tr>
        <w:tc>
          <w:tcPr>
            <w:tcW w:type="dxa" w:w="4536"/>
            <w:shd w:val="clear" w:color="auto" w:fill="1F497D"/>
            <w:vAlign w:val="center"/>
          </w:tcPr>
          <w:p>
            <w:r>
              <w:rPr>
                <w:b/>
                <w:color w:val="FFFFFF"/>
                <w:sz w:val="18"/>
              </w:rPr>
              <w:t>Property Area</w:t>
            </w:r>
          </w:p>
        </w:tc>
        <w:tc>
          <w:tcPr>
            <w:tcW w:type="dxa" w:w="4536"/>
          </w:tcPr>
          <w:p>
            <w:r>
              <w:rPr>
                <w:sz w:val="18"/>
              </w:rPr>
              <w:t>280.0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15 September 2024</w:t>
            </w:r>
          </w:p>
        </w:tc>
      </w:tr>
      <w:tr>
        <w:tc>
          <w:tcPr>
            <w:tcW w:type="dxa" w:w="4536"/>
            <w:shd w:val="clear" w:color="auto" w:fill="1F497D"/>
            <w:vAlign w:val="center"/>
          </w:tcPr>
          <w:p>
            <w:r>
              <w:rPr>
                <w:b/>
                <w:color w:val="FFFFFF"/>
                <w:sz w:val="18"/>
              </w:rPr>
              <w:t>Next Review</w:t>
            </w:r>
          </w:p>
        </w:tc>
        <w:tc>
          <w:tcPr>
            <w:tcW w:type="dxa" w:w="4536"/>
          </w:tcPr>
          <w:p>
            <w:r>
              <w:rPr>
                <w:sz w:val="18"/>
              </w:rPr>
              <w:t>15 September 2026</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Condamine Pulse used in horticultural packing and cold-chain export operations for Mangoes.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Mangoes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Lee Chandra</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15 September 2024.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Lee Chandra</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15 September 2024</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15 September 2026</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