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28"/>
        </w:rPr>
        <w:t>REGISTERED ESTABLISHMENT</w:t>
        <w:br/>
        <w:t>EXPORT REGISTRATION RECORD</w:t>
      </w:r>
    </w:p>
    <w:p/>
    <w:tbl>
      <w:tblPr>
        <w:tblStyle w:val="TableGrid"/>
        <w:tblW w:type="auto" w:w="0"/>
        <w:tblLook w:firstColumn="1" w:firstRow="1" w:lastColumn="0" w:lastRow="0" w:noHBand="0" w:noVBand="1" w:val="04A0"/>
      </w:tblPr>
      <w:tblGrid>
        <w:gridCol w:w="4703"/>
        <w:gridCol w:w="4703"/>
      </w:tblGrid>
      <w:tr>
        <w:tc>
          <w:tcPr>
            <w:tcW w:type="dxa" w:w="2835"/>
            <w:shd w:val="clear" w:color="auto" w:fill="DCE6F1"/>
          </w:tcPr>
          <w:p>
            <w:r>
              <w:rPr>
                <w:b/>
                <w:sz w:val="20"/>
              </w:rPr>
              <w:t>RE Number</w:t>
            </w:r>
          </w:p>
        </w:tc>
        <w:tc>
          <w:tcPr>
            <w:tcW w:type="dxa" w:w="5669"/>
          </w:tcPr>
          <w:p>
            <w:r>
              <w:rPr>
                <w:sz w:val="20"/>
              </w:rPr>
              <w:t>RE-QLD-2023-0022</w:t>
            </w:r>
          </w:p>
        </w:tc>
      </w:tr>
      <w:tr>
        <w:tc>
          <w:tcPr>
            <w:tcW w:type="dxa" w:w="2835"/>
            <w:shd w:val="clear" w:color="auto" w:fill="DCE6F1"/>
          </w:tcPr>
          <w:p>
            <w:r>
              <w:rPr>
                <w:b/>
                <w:sz w:val="20"/>
              </w:rPr>
              <w:t>Application Type</w:t>
            </w:r>
          </w:p>
        </w:tc>
        <w:tc>
          <w:tcPr>
            <w:tcW w:type="dxa" w:w="5669"/>
          </w:tcPr>
          <w:p>
            <w:r>
              <w:rPr>
                <w:sz w:val="20"/>
              </w:rPr>
              <w:t>New registration</w:t>
            </w:r>
          </w:p>
        </w:tc>
      </w:tr>
      <w:tr>
        <w:tc>
          <w:tcPr>
            <w:tcW w:type="dxa" w:w="2835"/>
            <w:shd w:val="clear" w:color="auto" w:fill="DCE6F1"/>
          </w:tcPr>
          <w:p>
            <w:r>
              <w:rPr>
                <w:b/>
                <w:sz w:val="20"/>
              </w:rPr>
              <w:t>Date of Record</w:t>
            </w:r>
          </w:p>
        </w:tc>
        <w:tc>
          <w:tcPr>
            <w:tcW w:type="dxa" w:w="5669"/>
          </w:tcPr>
          <w:p>
            <w:r>
              <w:rPr>
                <w:sz w:val="20"/>
              </w:rPr>
              <w:t>28 July 2025</w:t>
            </w:r>
          </w:p>
        </w:tc>
      </w:tr>
      <w:tr>
        <w:tc>
          <w:tcPr>
            <w:tcW w:type="dxa" w:w="2835"/>
            <w:shd w:val="clear" w:color="auto" w:fill="DCE6F1"/>
          </w:tcPr>
          <w:p>
            <w:r>
              <w:rPr>
                <w:b/>
                <w:sz w:val="20"/>
              </w:rPr>
              <w:t>Commodity</w:t>
            </w:r>
          </w:p>
        </w:tc>
        <w:tc>
          <w:tcPr>
            <w:tcW w:type="dxa" w:w="5669"/>
          </w:tcPr>
          <w:p>
            <w:r>
              <w:rPr>
                <w:sz w:val="20"/>
              </w:rPr>
              <w:t>Chickpeas</w:t>
            </w:r>
          </w:p>
        </w:tc>
      </w:tr>
      <w:tr>
        <w:tc>
          <w:tcPr>
            <w:tcW w:type="dxa" w:w="2835"/>
            <w:shd w:val="clear" w:color="auto" w:fill="DCE6F1"/>
          </w:tcPr>
          <w:p>
            <w:r>
              <w:rPr>
                <w:b/>
                <w:sz w:val="20"/>
              </w:rPr>
              <w:t>Destination</w:t>
            </w:r>
          </w:p>
        </w:tc>
        <w:tc>
          <w:tcPr>
            <w:tcW w:type="dxa" w:w="5669"/>
          </w:tcPr>
          <w:p>
            <w:r>
              <w:rPr>
                <w:sz w:val="20"/>
              </w:rPr>
              <w:t>India</w:t>
            </w:r>
          </w:p>
        </w:tc>
      </w:tr>
      <w:tr>
        <w:tc>
          <w:tcPr>
            <w:tcW w:type="dxa" w:w="2835"/>
            <w:shd w:val="clear" w:color="auto" w:fill="DCE6F1"/>
          </w:tcPr>
          <w:p>
            <w:r>
              <w:rPr>
                <w:b/>
                <w:sz w:val="20"/>
              </w:rPr>
              <w:t>ABN</w:t>
            </w:r>
          </w:p>
        </w:tc>
        <w:tc>
          <w:tcPr>
            <w:tcW w:type="dxa" w:w="5669"/>
          </w:tcPr>
          <w:p>
            <w:r>
              <w:rPr>
                <w:sz w:val="20"/>
              </w:rPr>
              <w:t>78 901 234 560</w:t>
            </w:r>
          </w:p>
        </w:tc>
      </w:tr>
    </w:tbl>
    <w:p/>
    <w:p>
      <w:pPr>
        <w:pStyle w:val="Heading1"/>
      </w:pPr>
      <w:r>
        <w:rPr>
          <w:color w:val="1F497D"/>
          <w:sz w:val="26"/>
        </w:rPr>
        <w:t>1. Establishment Details</w:t>
      </w:r>
    </w:p>
    <w:tbl>
      <w:tblPr>
        <w:tblStyle w:val="TableGrid"/>
        <w:tblW w:type="auto" w:w="0"/>
        <w:tblLook w:firstColumn="1" w:firstRow="1" w:lastColumn="0" w:lastRow="0" w:noHBand="0" w:noVBand="1" w:val="04A0"/>
      </w:tblPr>
      <w:tblGrid>
        <w:gridCol w:w="4703"/>
        <w:gridCol w:w="4703"/>
      </w:tblGrid>
      <w:tr>
        <w:tc>
          <w:tcPr>
            <w:tcW w:type="dxa" w:w="2835"/>
            <w:shd w:val="clear" w:color="auto" w:fill="DCE6F1"/>
          </w:tcPr>
          <w:p>
            <w:r>
              <w:rPr>
                <w:b/>
                <w:sz w:val="20"/>
              </w:rPr>
              <w:t>Business Name</w:t>
            </w:r>
          </w:p>
        </w:tc>
        <w:tc>
          <w:tcPr>
            <w:tcW w:type="dxa" w:w="5669"/>
          </w:tcPr>
          <w:p>
            <w:r>
              <w:rPr>
                <w:sz w:val="20"/>
              </w:rPr>
              <w:t>Burnett River Chickpea Trust</w:t>
            </w:r>
          </w:p>
        </w:tc>
      </w:tr>
      <w:tr>
        <w:tc>
          <w:tcPr>
            <w:tcW w:type="dxa" w:w="2835"/>
            <w:shd w:val="clear" w:color="auto" w:fill="DCE6F1"/>
          </w:tcPr>
          <w:p>
            <w:r>
              <w:rPr>
                <w:b/>
                <w:sz w:val="20"/>
              </w:rPr>
              <w:t>Trading Name</w:t>
            </w:r>
          </w:p>
        </w:tc>
        <w:tc>
          <w:tcPr>
            <w:tcW w:type="dxa" w:w="5669"/>
          </w:tcPr>
          <w:p>
            <w:r>
              <w:rPr>
                <w:sz w:val="20"/>
              </w:rPr>
              <w:t>Burnett River Chickpea Trust</w:t>
            </w:r>
          </w:p>
        </w:tc>
      </w:tr>
      <w:tr>
        <w:tc>
          <w:tcPr>
            <w:tcW w:type="dxa" w:w="2835"/>
            <w:shd w:val="clear" w:color="auto" w:fill="DCE6F1"/>
          </w:tcPr>
          <w:p>
            <w:r>
              <w:rPr>
                <w:b/>
                <w:sz w:val="20"/>
              </w:rPr>
              <w:t>Address</w:t>
            </w:r>
          </w:p>
        </w:tc>
        <w:tc>
          <w:tcPr>
            <w:tcW w:type="dxa" w:w="5669"/>
          </w:tcPr>
          <w:p>
            <w:r>
              <w:rPr>
                <w:sz w:val="20"/>
              </w:rPr>
              <w:t>22 D'Aguilar Highway, Kingaroy QLD 4610</w:t>
            </w:r>
          </w:p>
        </w:tc>
      </w:tr>
      <w:tr>
        <w:tc>
          <w:tcPr>
            <w:tcW w:type="dxa" w:w="2835"/>
            <w:shd w:val="clear" w:color="auto" w:fill="DCE6F1"/>
          </w:tcPr>
          <w:p>
            <w:r>
              <w:rPr>
                <w:b/>
                <w:sz w:val="20"/>
              </w:rPr>
              <w:t>State/Territory</w:t>
            </w:r>
          </w:p>
        </w:tc>
        <w:tc>
          <w:tcPr>
            <w:tcW w:type="dxa" w:w="5669"/>
          </w:tcPr>
          <w:p>
            <w:r>
              <w:rPr>
                <w:sz w:val="20"/>
              </w:rPr>
              <w:t>QLD</w:t>
            </w:r>
          </w:p>
        </w:tc>
      </w:tr>
      <w:tr>
        <w:tc>
          <w:tcPr>
            <w:tcW w:type="dxa" w:w="2835"/>
            <w:shd w:val="clear" w:color="auto" w:fill="DCE6F1"/>
          </w:tcPr>
          <w:p>
            <w:r>
              <w:rPr>
                <w:b/>
                <w:sz w:val="20"/>
              </w:rPr>
              <w:t>Contact Person</w:t>
            </w:r>
          </w:p>
        </w:tc>
        <w:tc>
          <w:tcPr>
            <w:tcW w:type="dxa" w:w="5669"/>
          </w:tcPr>
          <w:p>
            <w:r>
              <w:rPr>
                <w:sz w:val="20"/>
              </w:rPr>
              <w:t>Dorothy Holt</w:t>
            </w:r>
          </w:p>
        </w:tc>
      </w:tr>
      <w:tr>
        <w:tc>
          <w:tcPr>
            <w:tcW w:type="dxa" w:w="2835"/>
            <w:shd w:val="clear" w:color="auto" w:fill="DCE6F1"/>
          </w:tcPr>
          <w:p>
            <w:r>
              <w:rPr>
                <w:b/>
                <w:sz w:val="20"/>
              </w:rPr>
              <w:t>Business Structure</w:t>
            </w:r>
          </w:p>
        </w:tc>
        <w:tc>
          <w:tcPr>
            <w:tcW w:type="dxa" w:w="5669"/>
          </w:tcPr>
          <w:p>
            <w:r>
              <w:rPr>
                <w:sz w:val="20"/>
              </w:rPr>
              <w:t>Family trust</w:t>
            </w:r>
          </w:p>
        </w:tc>
      </w:tr>
      <w:tr>
        <w:tc>
          <w:tcPr>
            <w:tcW w:type="dxa" w:w="2835"/>
            <w:shd w:val="clear" w:color="auto" w:fill="DCE6F1"/>
          </w:tcPr>
          <w:p>
            <w:r>
              <w:rPr>
                <w:b/>
                <w:sz w:val="20"/>
              </w:rPr>
              <w:t>Registration Number</w:t>
            </w:r>
          </w:p>
        </w:tc>
        <w:tc>
          <w:tcPr>
            <w:tcW w:type="dxa" w:w="5669"/>
          </w:tcPr>
          <w:p>
            <w:r>
              <w:rPr>
                <w:sz w:val="20"/>
              </w:rPr>
              <w:t>RE-QLD-2023-0022</w:t>
            </w:r>
          </w:p>
        </w:tc>
      </w:tr>
      <w:tr>
        <w:tc>
          <w:tcPr>
            <w:tcW w:type="dxa" w:w="2835"/>
            <w:shd w:val="clear" w:color="auto" w:fill="DCE6F1"/>
          </w:tcPr>
          <w:p>
            <w:r>
              <w:rPr>
                <w:b/>
                <w:sz w:val="20"/>
              </w:rPr>
              <w:t>Registration Expiry</w:t>
            </w:r>
          </w:p>
        </w:tc>
        <w:tc>
          <w:tcPr>
            <w:tcW w:type="dxa" w:w="5669"/>
          </w:tcPr>
          <w:p>
            <w:r>
              <w:rPr>
                <w:sz w:val="20"/>
              </w:rPr>
              <w:t>16 January 2026</w:t>
            </w:r>
          </w:p>
        </w:tc>
      </w:tr>
    </w:tbl>
    <w:p/>
    <w:p>
      <w:pPr>
        <w:pStyle w:val="Heading1"/>
      </w:pPr>
      <w:r>
        <w:rPr>
          <w:color w:val="1F497D"/>
          <w:sz w:val="26"/>
        </w:rPr>
        <w:t>2. Registered Export Operations</w:t>
      </w:r>
    </w:p>
    <w:p>
      <w:r>
        <w:rPr>
          <w:sz w:val="20"/>
        </w:rPr>
        <w:t>This establishment is registered to conduct export operations for chickpeas (pulse). All export activities carried out at this premises are within the registered scope as approved by the Department of Agriculture, Fisheries and Forestry (DAFF).</w:t>
      </w:r>
    </w:p>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1F497D"/>
          </w:tcPr>
          <w:p>
            <w:r>
              <w:rPr>
                <w:b/>
                <w:color w:val="FFFFFF"/>
                <w:sz w:val="20"/>
              </w:rPr>
              <w:t>Activity</w:t>
            </w:r>
          </w:p>
        </w:tc>
        <w:tc>
          <w:tcPr>
            <w:tcW w:type="dxa" w:w="3135"/>
            <w:shd w:val="clear" w:color="auto" w:fill="1F497D"/>
          </w:tcPr>
          <w:p>
            <w:r>
              <w:rPr>
                <w:b/>
                <w:color w:val="FFFFFF"/>
                <w:sz w:val="20"/>
              </w:rPr>
              <w:t>Description</w:t>
            </w:r>
          </w:p>
        </w:tc>
        <w:tc>
          <w:tcPr>
            <w:tcW w:type="dxa" w:w="3135"/>
            <w:shd w:val="clear" w:color="auto" w:fill="1F497D"/>
          </w:tcPr>
          <w:p>
            <w:r>
              <w:rPr>
                <w:b/>
                <w:color w:val="FFFFFF"/>
                <w:sz w:val="20"/>
              </w:rPr>
              <w:t>Scope Status</w:t>
            </w:r>
          </w:p>
        </w:tc>
      </w:tr>
      <w:tr>
        <w:tc>
          <w:tcPr>
            <w:tcW w:type="dxa" w:w="3135"/>
            <w:shd w:val="clear" w:color="auto" w:fill="F2F2F2"/>
          </w:tcPr>
          <w:p>
            <w:r>
              <w:rPr>
                <w:sz w:val="20"/>
              </w:rPr>
              <w:t>Chickpeas receival</w:t>
            </w:r>
          </w:p>
        </w:tc>
        <w:tc>
          <w:tcPr>
            <w:tcW w:type="dxa" w:w="3135"/>
            <w:shd w:val="clear" w:color="auto" w:fill="F2F2F2"/>
          </w:tcPr>
          <w:p>
            <w:r>
              <w:rPr>
                <w:sz w:val="20"/>
              </w:rPr>
              <w:t>Intake of bulk and bagged chickpeas from registered growers</w:t>
            </w:r>
          </w:p>
        </w:tc>
        <w:tc>
          <w:tcPr>
            <w:tcW w:type="dxa" w:w="3135"/>
            <w:shd w:val="clear" w:color="auto" w:fill="F2F2F2"/>
          </w:tcPr>
          <w:p>
            <w:r>
              <w:rPr>
                <w:sz w:val="20"/>
              </w:rPr>
              <w:t>Within scope</w:t>
            </w:r>
          </w:p>
        </w:tc>
      </w:tr>
      <w:tr>
        <w:tc>
          <w:tcPr>
            <w:tcW w:type="dxa" w:w="3135"/>
          </w:tcPr>
          <w:p>
            <w:r>
              <w:rPr>
                <w:sz w:val="20"/>
              </w:rPr>
              <w:t>Cleaning and grading</w:t>
            </w:r>
          </w:p>
        </w:tc>
        <w:tc>
          <w:tcPr>
            <w:tcW w:type="dxa" w:w="3135"/>
          </w:tcPr>
          <w:p>
            <w:r>
              <w:rPr>
                <w:sz w:val="20"/>
              </w:rPr>
              <w:t>Processing of chickpeas to export specification</w:t>
            </w:r>
          </w:p>
        </w:tc>
        <w:tc>
          <w:tcPr>
            <w:tcW w:type="dxa" w:w="3135"/>
          </w:tcPr>
          <w:p>
            <w:r>
              <w:rPr>
                <w:sz w:val="20"/>
              </w:rPr>
              <w:t>Within scope</w:t>
            </w:r>
          </w:p>
        </w:tc>
      </w:tr>
      <w:tr>
        <w:tc>
          <w:tcPr>
            <w:tcW w:type="dxa" w:w="3135"/>
            <w:shd w:val="clear" w:color="auto" w:fill="F2F2F2"/>
          </w:tcPr>
          <w:p>
            <w:r>
              <w:rPr>
                <w:sz w:val="20"/>
              </w:rPr>
              <w:t>Storage</w:t>
            </w:r>
          </w:p>
        </w:tc>
        <w:tc>
          <w:tcPr>
            <w:tcW w:type="dxa" w:w="3135"/>
            <w:shd w:val="clear" w:color="auto" w:fill="F2F2F2"/>
          </w:tcPr>
          <w:p>
            <w:r>
              <w:rPr>
                <w:sz w:val="20"/>
              </w:rPr>
              <w:t>Storage of chickpeas in registered receival and storage areas</w:t>
            </w:r>
          </w:p>
        </w:tc>
        <w:tc>
          <w:tcPr>
            <w:tcW w:type="dxa" w:w="3135"/>
            <w:shd w:val="clear" w:color="auto" w:fill="F2F2F2"/>
          </w:tcPr>
          <w:p>
            <w:r>
              <w:rPr>
                <w:sz w:val="20"/>
              </w:rPr>
              <w:t>Within scope</w:t>
            </w:r>
          </w:p>
        </w:tc>
      </w:tr>
      <w:tr>
        <w:tc>
          <w:tcPr>
            <w:tcW w:type="dxa" w:w="3135"/>
          </w:tcPr>
          <w:p>
            <w:r>
              <w:rPr>
                <w:sz w:val="20"/>
              </w:rPr>
              <w:t>Sampling</w:t>
            </w:r>
          </w:p>
        </w:tc>
        <w:tc>
          <w:tcPr>
            <w:tcW w:type="dxa" w:w="3135"/>
          </w:tcPr>
          <w:p>
            <w:r>
              <w:rPr>
                <w:sz w:val="20"/>
              </w:rPr>
              <w:t>Pre-export sampling for quality and phytosanitary inspection</w:t>
            </w:r>
          </w:p>
        </w:tc>
        <w:tc>
          <w:tcPr>
            <w:tcW w:type="dxa" w:w="3135"/>
          </w:tcPr>
          <w:p>
            <w:r>
              <w:rPr>
                <w:sz w:val="20"/>
              </w:rPr>
              <w:t>Within scope</w:t>
            </w:r>
          </w:p>
        </w:tc>
      </w:tr>
      <w:tr>
        <w:tc>
          <w:tcPr>
            <w:tcW w:type="dxa" w:w="3135"/>
            <w:shd w:val="clear" w:color="auto" w:fill="F2F2F2"/>
          </w:tcPr>
          <w:p>
            <w:r>
              <w:rPr>
                <w:sz w:val="20"/>
              </w:rPr>
              <w:t>Dispatch</w:t>
            </w:r>
          </w:p>
        </w:tc>
        <w:tc>
          <w:tcPr>
            <w:tcW w:type="dxa" w:w="3135"/>
            <w:shd w:val="clear" w:color="auto" w:fill="F2F2F2"/>
          </w:tcPr>
          <w:p>
            <w:r>
              <w:rPr>
                <w:sz w:val="20"/>
              </w:rPr>
              <w:t>Loading and dispatch of certified consignments</w:t>
            </w:r>
          </w:p>
        </w:tc>
        <w:tc>
          <w:tcPr>
            <w:tcW w:type="dxa" w:w="3135"/>
            <w:shd w:val="clear" w:color="auto" w:fill="F2F2F2"/>
          </w:tcPr>
          <w:p>
            <w:r>
              <w:rPr>
                <w:sz w:val="20"/>
              </w:rPr>
              <w:t>Within scope</w:t>
            </w:r>
          </w:p>
        </w:tc>
      </w:tr>
    </w:tbl>
    <w:p/>
    <w:p>
      <w:pPr>
        <w:pStyle w:val="Heading1"/>
      </w:pPr>
      <w:r>
        <w:rPr>
          <w:color w:val="1F497D"/>
          <w:sz w:val="26"/>
        </w:rPr>
        <w:t>3. Registration Status</w:t>
      </w:r>
    </w:p>
    <w:p>
      <w:r>
        <w:rPr>
          <w:sz w:val="20"/>
        </w:rPr>
        <w:t>Registration RE-QLD-2023-0022 is current and active. The establishment was granted registration on 17 January 2023 and the current registration period extends to 16 January 2026. There are no conditions, suspensions or reviews attached to this registration.</w:t>
      </w:r>
    </w:p>
    <w:p/>
    <w:p>
      <w:pPr>
        <w:pStyle w:val="Heading1"/>
      </w:pPr>
      <w:r>
        <w:rPr>
          <w:color w:val="1F497D"/>
          <w:sz w:val="26"/>
        </w:rPr>
        <w:t>4. Fit and Proper Person</w:t>
      </w:r>
    </w:p>
    <w:p>
      <w:r>
        <w:rPr>
          <w:sz w:val="20"/>
        </w:rPr>
        <w:t>Dorothy Holt is the nominated responsible person for this registration. The establishment has been under continuous management since 2021. The entity is a family trust registered with ASIC. The responsible person has completed the DAFF Export Compliance Fundamentals training and holds current industry accreditation.</w:t>
      </w:r>
    </w:p>
    <w:p/>
    <w:p>
      <w:pPr>
        <w:pStyle w:val="Heading1"/>
      </w:pPr>
      <w:r>
        <w:rPr>
          <w:color w:val="1F497D"/>
          <w:sz w:val="26"/>
        </w:rPr>
        <w:t>5. Registered Premises — Area Description</w:t>
      </w:r>
    </w:p>
    <w:p>
      <w:r>
        <w:rPr>
          <w:sz w:val="20"/>
        </w:rPr>
        <w:t>The registered premises comprise Lot 28 on Plan DP 777478, located at 22 D'Aguilar Highway, Kingaroy QLD 4610. The total registered area is 29.7 hectares. The registered boundary is delineated on the attached site plan (Appendix A) and includes all receival, storage, processing and dispatch infrastructure. Adjoining land parcels and access roads are excluded from the registered area.</w:t>
      </w:r>
    </w:p>
    <w:p/>
    <w:p>
      <w:pPr>
        <w:pStyle w:val="Heading1"/>
      </w:pPr>
      <w:r>
        <w:rPr>
          <w:color w:val="1F497D"/>
          <w:sz w:val="26"/>
        </w:rPr>
        <w:t>6. Features, Facilities and Adjoining Sites</w:t>
      </w:r>
    </w:p>
    <w:p>
      <w:pPr>
        <w:pStyle w:val="Heading2"/>
      </w:pPr>
      <w:r>
        <w:rPr>
          <w:color w:val="1F497D"/>
          <w:sz w:val="22"/>
        </w:rPr>
        <w:t>6.1 Buildings and Structures</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1F497D"/>
          </w:tcPr>
          <w:p>
            <w:r>
              <w:rPr>
                <w:b/>
                <w:color w:val="FFFFFF"/>
                <w:sz w:val="20"/>
              </w:rPr>
              <w:t>Building / Structure</w:t>
            </w:r>
          </w:p>
        </w:tc>
        <w:tc>
          <w:tcPr>
            <w:tcW w:type="dxa" w:w="4703"/>
            <w:shd w:val="clear" w:color="auto" w:fill="1F497D"/>
          </w:tcPr>
          <w:p>
            <w:r>
              <w:rPr>
                <w:b/>
                <w:color w:val="FFFFFF"/>
                <w:sz w:val="20"/>
              </w:rPr>
              <w:t>Description</w:t>
            </w:r>
          </w:p>
        </w:tc>
      </w:tr>
      <w:tr>
        <w:tc>
          <w:tcPr>
            <w:tcW w:type="dxa" w:w="4703"/>
            <w:shd w:val="clear" w:color="auto" w:fill="F2F2F2"/>
          </w:tcPr>
          <w:p>
            <w:r>
              <w:rPr>
                <w:sz w:val="20"/>
              </w:rPr>
              <w:t>Main receival shed</w:t>
            </w:r>
          </w:p>
        </w:tc>
        <w:tc>
          <w:tcPr>
            <w:tcW w:type="dxa" w:w="4703"/>
            <w:shd w:val="clear" w:color="auto" w:fill="F2F2F2"/>
          </w:tcPr>
          <w:p>
            <w:r>
              <w:rPr>
                <w:sz w:val="20"/>
              </w:rPr>
              <w:t>Steel frame, concrete floor, roller-door access, 1,200 t capacity</w:t>
            </w:r>
          </w:p>
        </w:tc>
      </w:tr>
      <w:tr>
        <w:tc>
          <w:tcPr>
            <w:tcW w:type="dxa" w:w="4703"/>
          </w:tcPr>
          <w:p>
            <w:r>
              <w:rPr>
                <w:sz w:val="20"/>
              </w:rPr>
              <w:t>Silo complex (×4)</w:t>
            </w:r>
          </w:p>
        </w:tc>
        <w:tc>
          <w:tcPr>
            <w:tcW w:type="dxa" w:w="4703"/>
          </w:tcPr>
          <w:p>
            <w:r>
              <w:rPr>
                <w:sz w:val="20"/>
              </w:rPr>
              <w:t>Corrugated steel upright silos, 500 t each, aeration fitted</w:t>
            </w:r>
          </w:p>
        </w:tc>
      </w:tr>
      <w:tr>
        <w:tc>
          <w:tcPr>
            <w:tcW w:type="dxa" w:w="4703"/>
            <w:shd w:val="clear" w:color="auto" w:fill="F2F2F2"/>
          </w:tcPr>
          <w:p>
            <w:r>
              <w:rPr>
                <w:sz w:val="20"/>
              </w:rPr>
              <w:t>Machinery shed</w:t>
            </w:r>
          </w:p>
        </w:tc>
        <w:tc>
          <w:tcPr>
            <w:tcW w:type="dxa" w:w="4703"/>
            <w:shd w:val="clear" w:color="auto" w:fill="F2F2F2"/>
          </w:tcPr>
          <w:p>
            <w:r>
              <w:rPr>
                <w:sz w:val="20"/>
              </w:rPr>
              <w:t>Steel frame, open-front, houses headers and augers</w:t>
            </w:r>
          </w:p>
        </w:tc>
      </w:tr>
      <w:tr>
        <w:tc>
          <w:tcPr>
            <w:tcW w:type="dxa" w:w="4703"/>
          </w:tcPr>
          <w:p>
            <w:r>
              <w:rPr>
                <w:sz w:val="20"/>
              </w:rPr>
              <w:t>Chemical storage room</w:t>
            </w:r>
          </w:p>
        </w:tc>
        <w:tc>
          <w:tcPr>
            <w:tcW w:type="dxa" w:w="4703"/>
          </w:tcPr>
          <w:p>
            <w:r>
              <w:rPr>
                <w:sz w:val="20"/>
              </w:rPr>
              <w:t>Lockable, ventilated, bunded, separate from grain storage</w:t>
            </w:r>
          </w:p>
        </w:tc>
      </w:tr>
      <w:tr>
        <w:tc>
          <w:tcPr>
            <w:tcW w:type="dxa" w:w="4703"/>
            <w:shd w:val="clear" w:color="auto" w:fill="F2F2F2"/>
          </w:tcPr>
          <w:p>
            <w:r>
              <w:rPr>
                <w:sz w:val="20"/>
              </w:rPr>
              <w:t>Office and amenities</w:t>
            </w:r>
          </w:p>
        </w:tc>
        <w:tc>
          <w:tcPr>
            <w:tcW w:type="dxa" w:w="4703"/>
            <w:shd w:val="clear" w:color="auto" w:fill="F2F2F2"/>
          </w:tcPr>
          <w:p>
            <w:r>
              <w:rPr>
                <w:sz w:val="20"/>
              </w:rPr>
              <w:t>Portable cabin — office, toilet, first aid kit</w:t>
            </w:r>
          </w:p>
        </w:tc>
      </w:tr>
    </w:tbl>
    <w:p/>
    <w:p>
      <w:pPr>
        <w:pStyle w:val="Heading2"/>
      </w:pPr>
      <w:r>
        <w:rPr>
          <w:color w:val="1F497D"/>
          <w:sz w:val="22"/>
        </w:rPr>
        <w:t>6.2 Services and Utilities</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1F497D"/>
          </w:tcPr>
          <w:p>
            <w:r>
              <w:rPr>
                <w:b/>
                <w:color w:val="FFFFFF"/>
                <w:sz w:val="20"/>
              </w:rPr>
              <w:t>Service</w:t>
            </w:r>
          </w:p>
        </w:tc>
        <w:tc>
          <w:tcPr>
            <w:tcW w:type="dxa" w:w="4703"/>
            <w:shd w:val="clear" w:color="auto" w:fill="1F497D"/>
          </w:tcPr>
          <w:p>
            <w:r>
              <w:rPr>
                <w:b/>
                <w:color w:val="FFFFFF"/>
                <w:sz w:val="20"/>
              </w:rPr>
              <w:t>Details</w:t>
            </w:r>
          </w:p>
        </w:tc>
      </w:tr>
      <w:tr>
        <w:tc>
          <w:tcPr>
            <w:tcW w:type="dxa" w:w="4703"/>
            <w:shd w:val="clear" w:color="auto" w:fill="F2F2F2"/>
          </w:tcPr>
          <w:p>
            <w:r>
              <w:rPr>
                <w:sz w:val="20"/>
              </w:rPr>
              <w:t>Electricity</w:t>
            </w:r>
          </w:p>
        </w:tc>
        <w:tc>
          <w:tcPr>
            <w:tcW w:type="dxa" w:w="4703"/>
            <w:shd w:val="clear" w:color="auto" w:fill="F2F2F2"/>
          </w:tcPr>
          <w:p>
            <w:r>
              <w:rPr>
                <w:sz w:val="20"/>
              </w:rPr>
              <w:t>Three-phase mains power, metered supply</w:t>
            </w:r>
          </w:p>
        </w:tc>
      </w:tr>
      <w:tr>
        <w:tc>
          <w:tcPr>
            <w:tcW w:type="dxa" w:w="4703"/>
          </w:tcPr>
          <w:p>
            <w:r>
              <w:rPr>
                <w:sz w:val="20"/>
              </w:rPr>
              <w:t>Water</w:t>
            </w:r>
          </w:p>
        </w:tc>
        <w:tc>
          <w:tcPr>
            <w:tcW w:type="dxa" w:w="4703"/>
          </w:tcPr>
          <w:p>
            <w:r>
              <w:rPr>
                <w:sz w:val="20"/>
              </w:rPr>
              <w:t>Mains connected; potable supply to amenities; tank water for dust suppression</w:t>
            </w:r>
          </w:p>
        </w:tc>
      </w:tr>
      <w:tr>
        <w:tc>
          <w:tcPr>
            <w:tcW w:type="dxa" w:w="4703"/>
            <w:shd w:val="clear" w:color="auto" w:fill="F2F2F2"/>
          </w:tcPr>
          <w:p>
            <w:r>
              <w:rPr>
                <w:sz w:val="20"/>
              </w:rPr>
              <w:t>Weighbridge</w:t>
            </w:r>
          </w:p>
        </w:tc>
        <w:tc>
          <w:tcPr>
            <w:tcW w:type="dxa" w:w="4703"/>
            <w:shd w:val="clear" w:color="auto" w:fill="F2F2F2"/>
          </w:tcPr>
          <w:p>
            <w:r>
              <w:rPr>
                <w:sz w:val="20"/>
              </w:rPr>
              <w:t>60 t capacity, calibrated annually, NATA-endorsed</w:t>
            </w:r>
          </w:p>
        </w:tc>
      </w:tr>
      <w:tr>
        <w:tc>
          <w:tcPr>
            <w:tcW w:type="dxa" w:w="4703"/>
          </w:tcPr>
          <w:p>
            <w:r>
              <w:rPr>
                <w:sz w:val="20"/>
              </w:rPr>
              <w:t>Drainage</w:t>
            </w:r>
          </w:p>
        </w:tc>
        <w:tc>
          <w:tcPr>
            <w:tcW w:type="dxa" w:w="4703"/>
          </w:tcPr>
          <w:p>
            <w:r>
              <w:rPr>
                <w:sz w:val="20"/>
              </w:rPr>
              <w:t>Concrete hardstand with perimeter drain to collection sump</w:t>
            </w:r>
          </w:p>
        </w:tc>
      </w:tr>
    </w:tbl>
    <w:p/>
    <w:p>
      <w:pPr>
        <w:pStyle w:val="Heading2"/>
      </w:pPr>
      <w:r>
        <w:rPr>
          <w:color w:val="1F497D"/>
          <w:sz w:val="22"/>
        </w:rPr>
        <w:t>6.3 Adjoining Sites</w:t>
      </w:r>
    </w:p>
    <w:p>
      <w:r>
        <w:rPr>
          <w:sz w:val="20"/>
        </w:rPr>
        <w:t>The registered premises adjoin: (north) sealed public road; (east) cropping paddocks under same ownership; (south) state forest reserve — no stock or chemical activities; (west) neighbour's mixed-farming property — grain growing, no spray operations within 200 m.</w:t>
      </w:r>
    </w:p>
    <w:p/>
    <w:p>
      <w:pPr>
        <w:pStyle w:val="Heading1"/>
      </w:pPr>
      <w:r>
        <w:rPr>
          <w:color w:val="1F497D"/>
          <w:sz w:val="26"/>
        </w:rPr>
        <w:t>7. Layout and Product Flow</w:t>
      </w:r>
    </w:p>
    <w:p>
      <w:r>
        <w:rPr>
          <w:sz w:val="20"/>
        </w:rPr>
        <w:t>A scaled site plan is attached at Appendix A. The plan shows the location of all receival, storage, processing and dispatch infrastructure, including silo positions, shed footprints, hardstand areas, weighbridge, access roads, and the designated export sampling point.</w:t>
        <w:br/>
        <w:br/>
        <w:t>Product flow: chickpeas is received at the intake pit (north hardstand), elevated to the main conveyor, and directed to either the silo complex or receival shed. Cleaned and graded product is transferred by auger to the outloading hopper for bulk dispatch. All product flow is contained within the registered area. Segregation from non-registered commodities is maintained by dedicated equipment and labelled storage zones.</w:t>
      </w:r>
    </w:p>
    <w:p/>
    <w:p>
      <w:pPr>
        <w:pStyle w:val="Heading1"/>
      </w:pPr>
      <w:r>
        <w:rPr>
          <w:color w:val="1F497D"/>
          <w:sz w:val="26"/>
        </w:rPr>
        <w:t>8. Construction, Equipment and Facilities</w:t>
      </w:r>
    </w:p>
    <w:p>
      <w:r>
        <w:rPr>
          <w:sz w:val="20"/>
        </w:rPr>
        <w:t>The establishment infrastructure is designed and maintained to support the export of chickpeas. Total storage capacity is approximately 3,500 tonnes. Structures are of steel-frame construction with concrete flooring throughout the grain-contact areas. Maintenance inspections are carried out annually and records held on site.</w:t>
      </w:r>
    </w:p>
    <w:p/>
    <w:p>
      <w:pPr>
        <w:pStyle w:val="Heading1"/>
      </w:pPr>
      <w:r>
        <w:rPr>
          <w:color w:val="1F497D"/>
          <w:sz w:val="26"/>
        </w:rPr>
        <w:t>9. Notification of Changes</w:t>
      </w:r>
    </w:p>
    <w:p>
      <w:r>
        <w:rPr>
          <w:sz w:val="20"/>
        </w:rPr>
        <w:t>No changes to the registered establishment name, address, ownership, management or trading name have occurred since the last registration renewal. Should any such changes occur, DAFF will be notified in writing within the required timeframe as per Rule 4-6 of the Export Control (Plants and Plant Products) Rules 2021.</w:t>
      </w:r>
    </w:p>
    <w:p/>
    <w:p>
      <w:pPr>
        <w:pStyle w:val="Heading1"/>
      </w:pPr>
      <w:r>
        <w:rPr>
          <w:color w:val="1F497D"/>
          <w:sz w:val="26"/>
        </w:rPr>
        <w:t>10. Alterations to Registered Premises</w:t>
      </w:r>
    </w:p>
    <w:p>
      <w:r>
        <w:rPr>
          <w:sz w:val="20"/>
        </w:rPr>
        <w:t>No structural alterations or additions to the registered premises have been carried out since the last registration approval. Any proposed alterations will be submitted to DAFF for approval prior to commencement of works, in accordance with Rule 4-5 of the Export Control (Plants and Plant Products) Rules 2021.</w:t>
      </w:r>
    </w:p>
    <w:p/>
    <w:p>
      <w:pPr>
        <w:pStyle w:val="Heading1"/>
      </w:pPr>
      <w:r>
        <w:rPr>
          <w:color w:val="1F497D"/>
          <w:sz w:val="26"/>
        </w:rPr>
        <w:t>11. Importing Country Requirements</w:t>
      </w:r>
    </w:p>
    <w:p>
      <w:r>
        <w:rPr>
          <w:sz w:val="20"/>
        </w:rPr>
        <w:t>The following requirements apply to export consignments destined for India:</w:t>
      </w:r>
    </w:p>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1F497D"/>
          </w:tcPr>
          <w:p>
            <w:r>
              <w:rPr>
                <w:b/>
                <w:color w:val="FFFFFF"/>
                <w:sz w:val="20"/>
              </w:rPr>
              <w:t>Requirement</w:t>
            </w:r>
          </w:p>
        </w:tc>
        <w:tc>
          <w:tcPr>
            <w:tcW w:type="dxa" w:w="4703"/>
            <w:shd w:val="clear" w:color="auto" w:fill="1F497D"/>
          </w:tcPr>
          <w:p>
            <w:r>
              <w:rPr>
                <w:b/>
                <w:color w:val="FFFFFF"/>
                <w:sz w:val="20"/>
              </w:rPr>
              <w:t>Details</w:t>
            </w:r>
          </w:p>
        </w:tc>
      </w:tr>
      <w:tr>
        <w:tc>
          <w:tcPr>
            <w:tcW w:type="dxa" w:w="4703"/>
            <w:shd w:val="clear" w:color="auto" w:fill="F2F2F2"/>
          </w:tcPr>
          <w:p>
            <w:r>
              <w:rPr>
                <w:sz w:val="20"/>
              </w:rPr>
              <w:t>Importing country requirements</w:t>
            </w:r>
          </w:p>
        </w:tc>
        <w:tc>
          <w:tcPr>
            <w:tcW w:type="dxa" w:w="4703"/>
            <w:shd w:val="clear" w:color="auto" w:fill="F2F2F2"/>
          </w:tcPr>
          <w:p>
            <w:r>
              <w:rPr>
                <w:sz w:val="20"/>
              </w:rPr>
              <w:t>To be confirmed — buyer to advise specific requirements prior to shipment</w:t>
            </w:r>
          </w:p>
        </w:tc>
      </w:tr>
    </w:tbl>
    <w:p/>
    <w:p>
      <w:pPr>
        <w:pStyle w:val="Heading1"/>
      </w:pPr>
      <w:r>
        <w:rPr>
          <w:color w:val="1F497D"/>
          <w:sz w:val="26"/>
        </w:rPr>
        <w:t>12. Supporting Documents</w:t>
      </w:r>
    </w:p>
    <w:p>
      <w:pPr>
        <w:pStyle w:val="ListBullet"/>
      </w:pPr>
      <w:r>
        <w:rPr>
          <w:sz w:val="20"/>
        </w:rPr>
        <w:t>Farm Site Plan (Appendix A)</w:t>
      </w:r>
    </w:p>
    <w:p>
      <w:pPr>
        <w:pStyle w:val="ListBullet"/>
      </w:pPr>
      <w:r>
        <w:rPr>
          <w:sz w:val="20"/>
        </w:rPr>
        <w:t>HACCP Plan (current version)</w:t>
      </w:r>
    </w:p>
    <w:p>
      <w:pPr>
        <w:pStyle w:val="ListBullet"/>
      </w:pPr>
      <w:r>
        <w:rPr>
          <w:sz w:val="20"/>
        </w:rPr>
        <w:t>Pest Management Plan</w:t>
      </w:r>
    </w:p>
    <w:p>
      <w:pPr>
        <w:pStyle w:val="ListBullet"/>
      </w:pPr>
      <w:r>
        <w:rPr>
          <w:sz w:val="20"/>
        </w:rPr>
        <w:t>Hygiene and Sanitation Plan</w:t>
      </w:r>
    </w:p>
    <w:p>
      <w:pPr>
        <w:pStyle w:val="ListBullet"/>
      </w:pPr>
      <w:r>
        <w:rPr>
          <w:sz w:val="20"/>
        </w:rPr>
        <w:t>Phytosanitary Security Procedure</w:t>
      </w:r>
    </w:p>
    <w:p>
      <w:pPr>
        <w:pStyle w:val="ListBullet"/>
      </w:pPr>
      <w:r>
        <w:rPr>
          <w:sz w:val="20"/>
        </w:rPr>
        <w:t>Traceability Register</w:t>
      </w:r>
    </w:p>
    <w:p/>
    <w:p>
      <w:pPr>
        <w:pStyle w:val="Heading1"/>
      </w:pPr>
      <w:r>
        <w:rPr>
          <w:color w:val="1F497D"/>
          <w:sz w:val="26"/>
        </w:rPr>
        <w:t>13. Food Safety Program</w:t>
      </w:r>
    </w:p>
    <w:p>
      <w:r>
        <w:rPr>
          <w:sz w:val="20"/>
        </w:rPr>
        <w:t>A HACCP-based food safety program is maintained for all export operations. The program addresses pre-harvest, receival, storage, processing and dispatch stages. Critical control points are documented with monitoring procedures and corrective action plans. The food safety program is reviewed annually or following any significant operational change.</w:t>
      </w:r>
    </w:p>
    <w:p>
      <w:pPr>
        <w:pStyle w:val="Heading1"/>
      </w:pPr>
      <w:r>
        <w:rPr>
          <w:color w:val="1F497D"/>
          <w:sz w:val="26"/>
        </w:rPr>
        <w:t>14. Record Keeping</w:t>
      </w:r>
    </w:p>
    <w:p>
      <w:r>
        <w:rPr>
          <w:sz w:val="20"/>
        </w:rPr>
        <w:t>Records relating to all export operations, including receival dockets, storage logs, treatment records, dispatch documentation and audit reports, are maintained on site and in the business management system. Records are retained for a minimum of two years from the date of the relevant export activity in accordance with Rule 4-7B of the Export Control (Plants and Plant Products) Rules 2021.</w:t>
      </w:r>
    </w:p>
    <w:p/>
    <w:p>
      <w:r>
        <w:t>────────────────────────────────────────────────────────────</w:t>
      </w:r>
    </w:p>
    <w:p>
      <w:pPr>
        <w:pStyle w:val="Heading2"/>
      </w:pPr>
      <w:r>
        <w:rPr>
          <w:color w:val="1F497D"/>
          <w:sz w:val="22"/>
        </w:rPr>
        <w:t>Declaration</w:t>
      </w:r>
    </w:p>
    <w:p>
      <w:r>
        <w:rPr>
          <w:sz w:val="20"/>
        </w:rPr>
        <w:t>I, Dorothy Holt, as the responsible person for Burnett River Chickpea Trust (RE RE-QLD-2023-0022), declare that the information provided in this registration record is true and correct to the best of my knowledge. I acknowledge the obligations under the Export Control Act 2020 and the Export Control (Plants and Plant Products) Rules 2021.</w:t>
      </w:r>
    </w:p>
    <w:p/>
    <w:tbl>
      <w:tblPr>
        <w:tblStyle w:val="TableGrid"/>
        <w:tblW w:type="auto" w:w="0"/>
        <w:tblLook w:firstColumn="1" w:firstRow="1" w:lastColumn="0" w:lastRow="0" w:noHBand="0" w:noVBand="1" w:val="04A0"/>
      </w:tblPr>
      <w:tblGrid>
        <w:gridCol w:w="4703"/>
        <w:gridCol w:w="4703"/>
      </w:tblGrid>
      <w:tr>
        <w:tc>
          <w:tcPr>
            <w:tcW w:type="dxa" w:w="2835"/>
            <w:shd w:val="clear" w:color="auto" w:fill="DCE6F1"/>
          </w:tcPr>
          <w:p>
            <w:r>
              <w:rPr>
                <w:b/>
                <w:sz w:val="20"/>
              </w:rPr>
              <w:t>Signature</w:t>
            </w:r>
          </w:p>
        </w:tc>
        <w:tc>
          <w:tcPr>
            <w:tcW w:type="dxa" w:w="5669"/>
          </w:tcPr>
          <w:p>
            <w:r>
              <w:rPr>
                <w:sz w:val="20"/>
              </w:rPr>
            </w:r>
          </w:p>
        </w:tc>
      </w:tr>
      <w:tr>
        <w:tc>
          <w:tcPr>
            <w:tcW w:type="dxa" w:w="2835"/>
            <w:shd w:val="clear" w:color="auto" w:fill="DCE6F1"/>
          </w:tcPr>
          <w:p>
            <w:r>
              <w:rPr>
                <w:b/>
                <w:sz w:val="20"/>
              </w:rPr>
              <w:t>Name</w:t>
            </w:r>
          </w:p>
        </w:tc>
        <w:tc>
          <w:tcPr>
            <w:tcW w:type="dxa" w:w="5669"/>
          </w:tcPr>
          <w:p>
            <w:r>
              <w:rPr>
                <w:sz w:val="20"/>
              </w:rPr>
              <w:t>Dorothy Holt</w:t>
            </w:r>
          </w:p>
        </w:tc>
      </w:tr>
      <w:tr>
        <w:tc>
          <w:tcPr>
            <w:tcW w:type="dxa" w:w="2835"/>
            <w:shd w:val="clear" w:color="auto" w:fill="DCE6F1"/>
          </w:tcPr>
          <w:p>
            <w:r>
              <w:rPr>
                <w:b/>
                <w:sz w:val="20"/>
              </w:rPr>
              <w:t>Date</w:t>
            </w:r>
          </w:p>
        </w:tc>
        <w:tc>
          <w:tcPr>
            <w:tcW w:type="dxa" w:w="5669"/>
          </w:tcPr>
          <w:p>
            <w:r>
              <w:rPr>
                <w:sz w:val="20"/>
              </w:rPr>
              <w:t>28 July 2025</w:t>
            </w:r>
          </w:p>
        </w:tc>
      </w:tr>
      <w:tr>
        <w:tc>
          <w:tcPr>
            <w:tcW w:type="dxa" w:w="2835"/>
            <w:shd w:val="clear" w:color="auto" w:fill="DCE6F1"/>
          </w:tcPr>
          <w:p>
            <w:r>
              <w:rPr>
                <w:b/>
                <w:sz w:val="20"/>
              </w:rPr>
              <w:t>Position</w:t>
            </w:r>
          </w:p>
        </w:tc>
        <w:tc>
          <w:tcPr>
            <w:tcW w:type="dxa" w:w="5669"/>
          </w:tcPr>
          <w:p>
            <w:r>
              <w:rPr>
                <w:sz w:val="20"/>
              </w:rPr>
              <w:t>Responsible Person / Owner</w:t>
            </w:r>
          </w:p>
        </w:tc>
      </w:tr>
    </w:tbl>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