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Central Queensland Grain</w:t>
            </w:r>
          </w:p>
        </w:tc>
      </w:tr>
      <w:tr>
        <w:tc>
          <w:tcPr>
            <w:tcW w:type="dxa" w:w="3118"/>
            <w:shd w:val="clear" w:color="auto" w:fill="DCE6F1"/>
            <w:vAlign w:val="center"/>
          </w:tcPr>
          <w:p>
            <w:r>
              <w:rPr>
                <w:b/>
                <w:sz w:val="18"/>
              </w:rPr>
              <w:t>RE Number</w:t>
            </w:r>
          </w:p>
        </w:tc>
        <w:tc>
          <w:tcPr>
            <w:tcW w:type="dxa" w:w="6236"/>
            <w:vAlign w:val="center"/>
          </w:tcPr>
          <w:p>
            <w:r>
              <w:rPr>
                <w:sz w:val="18"/>
              </w:rPr>
              <w:t>RE-QLD-2023-0044</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56 Dawson Highway, Biloela QLD 4715</w:t>
            </w:r>
          </w:p>
        </w:tc>
      </w:tr>
      <w:tr>
        <w:tc>
          <w:tcPr>
            <w:tcW w:type="dxa" w:w="3118"/>
            <w:shd w:val="clear" w:color="auto" w:fill="DCE6F1"/>
            <w:vAlign w:val="center"/>
          </w:tcPr>
          <w:p>
            <w:r>
              <w:rPr>
                <w:b/>
                <w:sz w:val="18"/>
              </w:rPr>
              <w:t>Registered Commodity</w:t>
            </w:r>
          </w:p>
        </w:tc>
        <w:tc>
          <w:tcPr>
            <w:tcW w:type="dxa" w:w="6236"/>
            <w:vAlign w:val="center"/>
          </w:tcPr>
          <w:p>
            <w:r>
              <w:rPr>
                <w:sz w:val="18"/>
              </w:rPr>
              <w:t>Walnuts</w:t>
            </w:r>
          </w:p>
        </w:tc>
      </w:tr>
      <w:tr>
        <w:tc>
          <w:tcPr>
            <w:tcW w:type="dxa" w:w="3118"/>
            <w:shd w:val="clear" w:color="auto" w:fill="DCE6F1"/>
            <w:vAlign w:val="center"/>
          </w:tcPr>
          <w:p>
            <w:r>
              <w:rPr>
                <w:b/>
                <w:sz w:val="18"/>
              </w:rPr>
              <w:t>Responsible Officer</w:t>
            </w:r>
          </w:p>
        </w:tc>
        <w:tc>
          <w:tcPr>
            <w:tcW w:type="dxa" w:w="6236"/>
            <w:vAlign w:val="center"/>
          </w:tcPr>
          <w:p>
            <w:r>
              <w:rPr>
                <w:sz w:val="18"/>
              </w:rPr>
              <w:t>Claire Booth</w:t>
            </w:r>
          </w:p>
        </w:tc>
      </w:tr>
      <w:tr>
        <w:tc>
          <w:tcPr>
            <w:tcW w:type="dxa" w:w="3118"/>
            <w:shd w:val="clear" w:color="auto" w:fill="DCE6F1"/>
            <w:vAlign w:val="center"/>
          </w:tcPr>
          <w:p>
            <w:r>
              <w:rPr>
                <w:b/>
                <w:sz w:val="18"/>
              </w:rPr>
              <w:t>Property Area</w:t>
            </w:r>
          </w:p>
        </w:tc>
        <w:tc>
          <w:tcPr>
            <w:tcW w:type="dxa" w:w="6236"/>
            <w:vAlign w:val="center"/>
          </w:tcPr>
          <w:p>
            <w:r>
              <w:rPr>
                <w:sz w:val="18"/>
              </w:rPr>
              <w:t>95.0 ha</w:t>
            </w:r>
          </w:p>
        </w:tc>
      </w:tr>
      <w:tr>
        <w:tc>
          <w:tcPr>
            <w:tcW w:type="dxa" w:w="3118"/>
            <w:shd w:val="clear" w:color="auto" w:fill="DCE6F1"/>
            <w:vAlign w:val="center"/>
          </w:tcPr>
          <w:p>
            <w:r>
              <w:rPr>
                <w:b/>
                <w:sz w:val="18"/>
              </w:rPr>
              <w:t>Year Established</w:t>
            </w:r>
          </w:p>
        </w:tc>
        <w:tc>
          <w:tcPr>
            <w:tcW w:type="dxa" w:w="6236"/>
            <w:vAlign w:val="center"/>
          </w:tcPr>
          <w:p>
            <w:r>
              <w:rPr>
                <w:sz w:val="18"/>
              </w:rPr>
              <w:t>2020</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29 January 2024</w:t>
            </w:r>
          </w:p>
        </w:tc>
      </w:tr>
      <w:tr>
        <w:tc>
          <w:tcPr>
            <w:tcW w:type="dxa" w:w="3118"/>
            <w:shd w:val="clear" w:color="auto" w:fill="DCE6F1"/>
            <w:vAlign w:val="center"/>
          </w:tcPr>
          <w:p>
            <w:r>
              <w:rPr>
                <w:b/>
                <w:sz w:val="18"/>
              </w:rPr>
              <w:t>Next Review</w:t>
            </w:r>
          </w:p>
        </w:tc>
        <w:tc>
          <w:tcPr>
            <w:tcW w:type="dxa" w:w="6236"/>
            <w:vAlign w:val="center"/>
          </w:tcPr>
          <w:p>
            <w:r>
              <w:rPr>
                <w:sz w:val="18"/>
              </w:rPr>
              <w:t>29 January 2026</w:t>
            </w:r>
          </w:p>
        </w:tc>
      </w:tr>
    </w:tbl>
    <w:p/>
    <w:p>
      <w:pPr>
        <w:pStyle w:val="Heading1"/>
      </w:pPr>
      <w:r>
        <w:rPr>
          <w:color w:val="1F497D"/>
        </w:rPr>
        <w:t>1.  OVERVIEW</w:t>
      </w:r>
    </w:p>
    <w:p>
      <w:r>
        <w:rPr>
          <w:b w:val="0"/>
          <w:i w:val="0"/>
          <w:sz w:val="20"/>
        </w:rPr>
        <w:t>Central Queensland Grain is a registered export establishment located at 56 Dawson Highway, Biloela QLD 4715, QLD. The establishment holds RE Number RE-QLD-2023-0044 and is registered to handle and export Walnuts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Nut Processing Hall</w:t>
            </w:r>
          </w:p>
        </w:tc>
        <w:tc>
          <w:tcPr>
            <w:tcW w:type="dxa" w:w="1587"/>
            <w:shd w:val="clear" w:color="auto" w:fill="FFFFFF"/>
            <w:vAlign w:val="center"/>
          </w:tcPr>
          <w:p>
            <w:r>
              <w:rPr>
                <w:sz w:val="18"/>
              </w:rPr>
              <w:t>32×20 m</w:t>
            </w:r>
          </w:p>
        </w:tc>
        <w:tc>
          <w:tcPr>
            <w:tcW w:type="dxa" w:w="1984"/>
            <w:shd w:val="clear" w:color="auto" w:fill="FFFFFF"/>
            <w:vAlign w:val="center"/>
          </w:tcPr>
          <w:p>
            <w:r>
              <w:rPr>
                <w:sz w:val="18"/>
              </w:rPr>
              <w:t>Steel portal, smooth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HS</w:t>
            </w:r>
          </w:p>
        </w:tc>
        <w:tc>
          <w:tcPr>
            <w:tcW w:type="dxa" w:w="3118"/>
            <w:shd w:val="clear" w:color="auto" w:fill="F2F2F2"/>
            <w:vAlign w:val="center"/>
          </w:tcPr>
          <w:p>
            <w:r>
              <w:rPr>
                <w:sz w:val="18"/>
              </w:rPr>
              <w:t>Processing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Steel, concrete floor</w:t>
            </w:r>
          </w:p>
        </w:tc>
        <w:tc>
          <w:tcPr>
            <w:tcW w:type="dxa" w:w="2381"/>
            <w:shd w:val="clear" w:color="auto" w:fill="F2F2F2"/>
            <w:vAlign w:val="center"/>
          </w:tcPr>
          <w:p>
            <w:r>
              <w:rPr>
                <w:sz w:val="18"/>
              </w:rPr>
              <w:t>North of PH</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Cold Store</w:t>
            </w:r>
          </w:p>
        </w:tc>
        <w:tc>
          <w:tcPr>
            <w:tcW w:type="dxa" w:w="1587"/>
            <w:shd w:val="clear" w:color="auto" w:fill="FFFFFF"/>
            <w:vAlign w:val="center"/>
          </w:tcPr>
          <w:p>
            <w:r>
              <w:rPr>
                <w:sz w:val="18"/>
              </w:rPr>
              <w:t>14×12 m</w:t>
            </w:r>
          </w:p>
        </w:tc>
        <w:tc>
          <w:tcPr>
            <w:tcW w:type="dxa" w:w="1984"/>
            <w:shd w:val="clear" w:color="auto" w:fill="FFFFFF"/>
            <w:vAlign w:val="center"/>
          </w:tcPr>
          <w:p>
            <w:r>
              <w:rPr>
                <w:sz w:val="18"/>
              </w:rPr>
              <w:t>Insulated panel, ammonia refrigeration</w:t>
            </w:r>
          </w:p>
        </w:tc>
        <w:tc>
          <w:tcPr>
            <w:tcW w:type="dxa" w:w="2381"/>
            <w:shd w:val="clear" w:color="auto" w:fill="FFFFFF"/>
            <w:vAlign w:val="center"/>
          </w:tcPr>
          <w:p>
            <w:r>
              <w:rPr>
                <w:sz w:val="18"/>
              </w:rPr>
              <w:t>East of PH</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PH</w:t>
            </w:r>
          </w:p>
        </w:tc>
        <w:tc>
          <w:tcPr>
            <w:tcW w:type="dxa" w:w="2381"/>
            <w:shd w:val="clear" w:color="auto" w:fill="F2F2F2"/>
            <w:vAlign w:val="center"/>
          </w:tcPr>
          <w:p>
            <w:r>
              <w:rPr>
                <w:sz w:val="18"/>
              </w:rPr>
              <w:t>PH east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Hulling and shelling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processing</w:t>
            </w:r>
          </w:p>
        </w:tc>
      </w:tr>
      <w:tr>
        <w:tc>
          <w:tcPr>
            <w:tcW w:type="dxa" w:w="3685"/>
            <w:shd w:val="clear" w:color="auto" w:fill="F2F2F2"/>
            <w:vAlign w:val="center"/>
          </w:tcPr>
          <w:p>
            <w:r>
              <w:rPr>
                <w:sz w:val="18"/>
              </w:rPr>
              <w:t>Optical colour sorter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Quality grading</w:t>
            </w:r>
          </w:p>
        </w:tc>
      </w:tr>
      <w:tr>
        <w:tc>
          <w:tcPr>
            <w:tcW w:type="dxa" w:w="3685"/>
            <w:shd w:val="clear" w:color="auto" w:fill="FFFFFF"/>
            <w:vAlign w:val="center"/>
          </w:tcPr>
          <w:p>
            <w:r>
              <w:rPr>
                <w:sz w:val="18"/>
              </w:rPr>
              <w:t>Semi-automatic pack line</w:t>
            </w:r>
          </w:p>
        </w:tc>
        <w:tc>
          <w:tcPr>
            <w:tcW w:type="dxa" w:w="1984"/>
            <w:shd w:val="clear" w:color="auto" w:fill="FFFFFF"/>
            <w:vAlign w:val="center"/>
          </w:tcPr>
          <w:p>
            <w:r>
              <w:rPr>
                <w:sz w:val="18"/>
              </w:rPr>
              <w:t>2 lanes</w:t>
            </w:r>
          </w:p>
        </w:tc>
        <w:tc>
          <w:tcPr>
            <w:tcW w:type="dxa" w:w="4252"/>
            <w:shd w:val="clear" w:color="auto" w:fill="FFFFFF"/>
            <w:vAlign w:val="center"/>
          </w:tcPr>
          <w:p>
            <w:r>
              <w:rPr>
                <w:sz w:val="18"/>
              </w:rPr>
              <w:t>Consumer and bulk packing</w:t>
            </w:r>
          </w:p>
        </w:tc>
      </w:tr>
      <w:tr>
        <w:tc>
          <w:tcPr>
            <w:tcW w:type="dxa" w:w="3685"/>
            <w:shd w:val="clear" w:color="auto" w:fill="F2F2F2"/>
            <w:vAlign w:val="center"/>
          </w:tcPr>
          <w:p>
            <w:r>
              <w:rPr>
                <w:sz w:val="18"/>
              </w:rPr>
              <w:t>Metal detector</w:t>
            </w:r>
          </w:p>
        </w:tc>
        <w:tc>
          <w:tcPr>
            <w:tcW w:type="dxa" w:w="1984"/>
            <w:shd w:val="clear" w:color="auto" w:fill="F2F2F2"/>
            <w:vAlign w:val="center"/>
          </w:tcPr>
          <w:p>
            <w:r>
              <w:rPr>
                <w:sz w:val="18"/>
              </w:rPr>
              <w:t>CCP inline</w:t>
            </w:r>
          </w:p>
        </w:tc>
        <w:tc>
          <w:tcPr>
            <w:tcW w:type="dxa" w:w="4252"/>
            <w:shd w:val="clear" w:color="auto" w:fill="F2F2F2"/>
            <w:vAlign w:val="center"/>
          </w:tcPr>
          <w:p>
            <w:r>
              <w:rPr>
                <w:sz w:val="18"/>
              </w:rPr>
              <w:t>Export food safety</w:t>
            </w:r>
          </w:p>
        </w:tc>
      </w:tr>
      <w:tr>
        <w:tc>
          <w:tcPr>
            <w:tcW w:type="dxa" w:w="3685"/>
            <w:shd w:val="clear" w:color="auto" w:fill="FFFFFF"/>
            <w:vAlign w:val="center"/>
          </w:tcPr>
          <w:p>
            <w:r>
              <w:rPr>
                <w:sz w:val="18"/>
              </w:rPr>
              <w:t>Moisture/aflatoxin analyser</w:t>
            </w:r>
          </w:p>
        </w:tc>
        <w:tc>
          <w:tcPr>
            <w:tcW w:type="dxa" w:w="1984"/>
            <w:shd w:val="clear" w:color="auto" w:fill="FFFFFF"/>
            <w:vAlign w:val="center"/>
          </w:tcPr>
          <w:p>
            <w:r>
              <w:rPr>
                <w:sz w:val="18"/>
              </w:rPr>
              <w:t>In-line</w:t>
            </w:r>
          </w:p>
        </w:tc>
        <w:tc>
          <w:tcPr>
            <w:tcW w:type="dxa" w:w="4252"/>
            <w:shd w:val="clear" w:color="auto" w:fill="FFFFFF"/>
            <w:vAlign w:val="center"/>
          </w:tcPr>
          <w:p>
            <w:r>
              <w:rPr>
                <w:sz w:val="18"/>
              </w:rPr>
              <w:t>Quality and safety testing</w:t>
            </w:r>
          </w:p>
        </w:tc>
      </w:tr>
      <w:tr>
        <w:tc>
          <w:tcPr>
            <w:tcW w:type="dxa" w:w="3685"/>
            <w:shd w:val="clear" w:color="auto" w:fill="F2F2F2"/>
            <w:vAlign w:val="center"/>
          </w:tcPr>
          <w:p>
            <w:r>
              <w:rPr>
                <w:sz w:val="18"/>
              </w:rPr>
              <w:t>Pallet stretch wrapper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palletising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Walnuts.</w:t>
      </w:r>
    </w:p>
    <w:p>
      <w:pPr>
        <w:pStyle w:val="Heading2"/>
      </w:pPr>
      <w:r>
        <w:t>4.2  Lighting (C2)</w:t>
      </w:r>
    </w:p>
    <w:p>
      <w:r>
        <w:rPr>
          <w:b w:val="0"/>
          <w:i w:val="0"/>
          <w:sz w:val="20"/>
        </w:rPr>
        <w:t>T5 LED fluorescent panels on 600 mm spacing — 450 lux at floor level throughout processing area. Task lighting above grading line at 500 lux. Loading dock: 300 W LED floods at 342 lux. Emergency lighting on dedicated UPS circuit.</w:t>
      </w:r>
    </w:p>
    <w:p>
      <w:pPr>
        <w:pStyle w:val="Heading2"/>
      </w:pPr>
      <w:r>
        <w:t>4.3  Handwashing and Toilet Facilities (C3)</w:t>
      </w:r>
    </w:p>
    <w:p>
      <w:r>
        <w:rPr>
          <w:b w:val="0"/>
          <w:i w:val="0"/>
          <w:sz w:val="20"/>
        </w:rPr>
        <w:t>Self-contained amenities unit: 1 toilet, 1 hand basin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2020);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Hull and shell waste</w:t>
            </w:r>
          </w:p>
        </w:tc>
        <w:tc>
          <w:tcPr>
            <w:tcW w:type="dxa" w:w="4252"/>
            <w:shd w:val="clear" w:color="auto" w:fill="FFFFFF"/>
            <w:vAlign w:val="center"/>
          </w:tcPr>
          <w:p>
            <w:r>
              <w:rPr>
                <w:sz w:val="18"/>
              </w:rPr>
              <w:t>Collection pit under processor → covered external stockpile</w:t>
            </w:r>
          </w:p>
        </w:tc>
        <w:tc>
          <w:tcPr>
            <w:tcW w:type="dxa" w:w="2835"/>
            <w:shd w:val="clear" w:color="auto" w:fill="FFFFFF"/>
            <w:vAlign w:val="center"/>
          </w:tcPr>
          <w:p>
            <w:r>
              <w:rPr>
                <w:sz w:val="18"/>
              </w:rPr>
              <w:t>Daily bobcat removal</w:t>
            </w:r>
          </w:p>
        </w:tc>
      </w:tr>
      <w:tr>
        <w:tc>
          <w:tcPr>
            <w:tcW w:type="dxa" w:w="2835"/>
            <w:shd w:val="clear" w:color="auto" w:fill="F2F2F2"/>
            <w:vAlign w:val="center"/>
          </w:tcPr>
          <w:p>
            <w:r>
              <w:rPr>
                <w:sz w:val="18"/>
              </w:rPr>
              <w:t>Nut dust and fines</w:t>
            </w:r>
          </w:p>
        </w:tc>
        <w:tc>
          <w:tcPr>
            <w:tcW w:type="dxa" w:w="4252"/>
            <w:shd w:val="clear" w:color="auto" w:fill="F2F2F2"/>
            <w:vAlign w:val="center"/>
          </w:tcPr>
          <w:p>
            <w:r>
              <w:rPr>
                <w:sz w:val="18"/>
              </w:rPr>
              <w:t>Bag filter on processing line</w:t>
            </w:r>
          </w:p>
        </w:tc>
        <w:tc>
          <w:tcPr>
            <w:tcW w:type="dxa" w:w="2835"/>
            <w:shd w:val="clear" w:color="auto" w:fill="F2F2F2"/>
            <w:vAlign w:val="center"/>
          </w:tcPr>
          <w:p>
            <w:r>
              <w:rPr>
                <w:sz w:val="18"/>
              </w:rPr>
              <w:t>Weekly bag change</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Baler/compactor</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TasNetworks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Claire Booth</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29 January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