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Eyre Peninsula Lentils</w:t>
            </w:r>
          </w:p>
        </w:tc>
      </w:tr>
      <w:tr>
        <w:tc>
          <w:tcPr>
            <w:tcW w:type="dxa" w:w="4536"/>
            <w:shd w:val="clear" w:color="auto" w:fill="1F497D"/>
            <w:vAlign w:val="center"/>
          </w:tcPr>
          <w:p>
            <w:r>
              <w:rPr>
                <w:b/>
                <w:color w:val="FFFFFF"/>
                <w:sz w:val="18"/>
              </w:rPr>
              <w:t>RE Number</w:t>
            </w:r>
          </w:p>
        </w:tc>
        <w:tc>
          <w:tcPr>
            <w:tcW w:type="dxa" w:w="4536"/>
          </w:tcPr>
          <w:p>
            <w:r>
              <w:rPr>
                <w:sz w:val="18"/>
              </w:rPr>
              <w:t>RE-SA-2020-0090</w:t>
            </w:r>
          </w:p>
        </w:tc>
      </w:tr>
      <w:tr>
        <w:tc>
          <w:tcPr>
            <w:tcW w:type="dxa" w:w="4536"/>
            <w:shd w:val="clear" w:color="auto" w:fill="1F497D"/>
            <w:vAlign w:val="center"/>
          </w:tcPr>
          <w:p>
            <w:r>
              <w:rPr>
                <w:b/>
                <w:color w:val="FFFFFF"/>
                <w:sz w:val="18"/>
              </w:rPr>
              <w:t>State / Territory</w:t>
            </w:r>
          </w:p>
        </w:tc>
        <w:tc>
          <w:tcPr>
            <w:tcW w:type="dxa" w:w="4536"/>
          </w:tcPr>
          <w:p>
            <w:r>
              <w:rPr>
                <w:sz w:val="18"/>
              </w:rPr>
              <w:t>SA</w:t>
            </w:r>
          </w:p>
        </w:tc>
      </w:tr>
      <w:tr>
        <w:tc>
          <w:tcPr>
            <w:tcW w:type="dxa" w:w="4536"/>
            <w:shd w:val="clear" w:color="auto" w:fill="1F497D"/>
            <w:vAlign w:val="center"/>
          </w:tcPr>
          <w:p>
            <w:r>
              <w:rPr>
                <w:b/>
                <w:color w:val="FFFFFF"/>
                <w:sz w:val="18"/>
              </w:rPr>
              <w:t>Property Address</w:t>
            </w:r>
          </w:p>
        </w:tc>
        <w:tc>
          <w:tcPr>
            <w:tcW w:type="dxa" w:w="4536"/>
          </w:tcPr>
          <w:p>
            <w:r>
              <w:rPr>
                <w:sz w:val="18"/>
              </w:rPr>
              <w:t>101 Lincoln Highway, Cummins SA 5631</w:t>
            </w:r>
          </w:p>
        </w:tc>
      </w:tr>
      <w:tr>
        <w:tc>
          <w:tcPr>
            <w:tcW w:type="dxa" w:w="4536"/>
            <w:shd w:val="clear" w:color="auto" w:fill="1F497D"/>
            <w:vAlign w:val="center"/>
          </w:tcPr>
          <w:p>
            <w:r>
              <w:rPr>
                <w:b/>
                <w:color w:val="FFFFFF"/>
                <w:sz w:val="18"/>
              </w:rPr>
              <w:t>Registered Commodity</w:t>
            </w:r>
          </w:p>
        </w:tc>
        <w:tc>
          <w:tcPr>
            <w:tcW w:type="dxa" w:w="4536"/>
          </w:tcPr>
          <w:p>
            <w:r>
              <w:rPr>
                <w:sz w:val="18"/>
              </w:rPr>
              <w:t>Mangoes</w:t>
            </w:r>
          </w:p>
        </w:tc>
      </w:tr>
      <w:tr>
        <w:tc>
          <w:tcPr>
            <w:tcW w:type="dxa" w:w="4536"/>
            <w:shd w:val="clear" w:color="auto" w:fill="1F497D"/>
            <w:vAlign w:val="center"/>
          </w:tcPr>
          <w:p>
            <w:r>
              <w:rPr>
                <w:b/>
                <w:color w:val="FFFFFF"/>
                <w:sz w:val="18"/>
              </w:rPr>
              <w:t>Operation Type</w:t>
            </w:r>
          </w:p>
        </w:tc>
        <w:tc>
          <w:tcPr>
            <w:tcW w:type="dxa" w:w="4536"/>
          </w:tcPr>
          <w:p>
            <w:r>
              <w:rPr>
                <w:sz w:val="18"/>
              </w:rPr>
              <w:t>Hort</w:t>
            </w:r>
          </w:p>
        </w:tc>
      </w:tr>
      <w:tr>
        <w:tc>
          <w:tcPr>
            <w:tcW w:type="dxa" w:w="4536"/>
            <w:shd w:val="clear" w:color="auto" w:fill="1F497D"/>
            <w:vAlign w:val="center"/>
          </w:tcPr>
          <w:p>
            <w:r>
              <w:rPr>
                <w:b/>
                <w:color w:val="FFFFFF"/>
                <w:sz w:val="18"/>
              </w:rPr>
              <w:t>Responsible Officer</w:t>
            </w:r>
          </w:p>
        </w:tc>
        <w:tc>
          <w:tcPr>
            <w:tcW w:type="dxa" w:w="4536"/>
          </w:tcPr>
          <w:p>
            <w:r>
              <w:rPr>
                <w:sz w:val="18"/>
              </w:rPr>
              <w:t>Louise Baird</w:t>
            </w:r>
          </w:p>
        </w:tc>
      </w:tr>
      <w:tr>
        <w:tc>
          <w:tcPr>
            <w:tcW w:type="dxa" w:w="4536"/>
            <w:shd w:val="clear" w:color="auto" w:fill="1F497D"/>
            <w:vAlign w:val="center"/>
          </w:tcPr>
          <w:p>
            <w:r>
              <w:rPr>
                <w:b/>
                <w:color w:val="FFFFFF"/>
                <w:sz w:val="18"/>
              </w:rPr>
              <w:t>Property Area</w:t>
            </w:r>
          </w:p>
        </w:tc>
        <w:tc>
          <w:tcPr>
            <w:tcW w:type="dxa" w:w="4536"/>
          </w:tcPr>
          <w:p>
            <w:r>
              <w:rPr>
                <w:sz w:val="18"/>
              </w:rPr>
              <w:t>780.0 ha</w:t>
            </w:r>
          </w:p>
        </w:tc>
      </w:tr>
      <w:tr>
        <w:tc>
          <w:tcPr>
            <w:tcW w:type="dxa" w:w="4536"/>
            <w:shd w:val="clear" w:color="auto" w:fill="1F497D"/>
            <w:vAlign w:val="center"/>
          </w:tcPr>
          <w:p>
            <w:r>
              <w:rPr>
                <w:b/>
                <w:color w:val="FFFFFF"/>
                <w:sz w:val="18"/>
              </w:rPr>
              <w:t>Document Version</w:t>
            </w:r>
          </w:p>
        </w:tc>
        <w:tc>
          <w:tcPr>
            <w:tcW w:type="dxa" w:w="4536"/>
          </w:tcPr>
          <w:p>
            <w:r>
              <w:rPr>
                <w:sz w:val="18"/>
              </w:rPr>
              <w:t>3.1</w:t>
            </w:r>
          </w:p>
        </w:tc>
      </w:tr>
      <w:tr>
        <w:tc>
          <w:tcPr>
            <w:tcW w:type="dxa" w:w="4536"/>
            <w:shd w:val="clear" w:color="auto" w:fill="1F497D"/>
            <w:vAlign w:val="center"/>
          </w:tcPr>
          <w:p>
            <w:r>
              <w:rPr>
                <w:b/>
                <w:color w:val="FFFFFF"/>
                <w:sz w:val="18"/>
              </w:rPr>
              <w:t>Plan Date</w:t>
            </w:r>
          </w:p>
        </w:tc>
        <w:tc>
          <w:tcPr>
            <w:tcW w:type="dxa" w:w="4536"/>
          </w:tcPr>
          <w:p>
            <w:r>
              <w:rPr>
                <w:sz w:val="18"/>
              </w:rPr>
              <w:t>22 October 2025</w:t>
            </w:r>
          </w:p>
        </w:tc>
      </w:tr>
      <w:tr>
        <w:tc>
          <w:tcPr>
            <w:tcW w:type="dxa" w:w="4536"/>
            <w:shd w:val="clear" w:color="auto" w:fill="1F497D"/>
            <w:vAlign w:val="center"/>
          </w:tcPr>
          <w:p>
            <w:r>
              <w:rPr>
                <w:b/>
                <w:color w:val="FFFFFF"/>
                <w:sz w:val="18"/>
              </w:rPr>
              <w:t>Next Review</w:t>
            </w:r>
          </w:p>
        </w:tc>
        <w:tc>
          <w:tcPr>
            <w:tcW w:type="dxa" w:w="4536"/>
          </w:tcPr>
          <w:p>
            <w:r>
              <w:rPr>
                <w:sz w:val="18"/>
              </w:rPr>
              <w:t>22 October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Eyre Peninsula Lentils used in horticultural packing and cold-chain export operations for Mangoes.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Mangoes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Louise Baird</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Dock / Unloading Bay</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packaging, debris, organic material. Wash floor with pressure hose.</w:t>
            </w:r>
          </w:p>
        </w:tc>
        <w:tc>
          <w:tcPr>
            <w:tcW w:type="dxa" w:w="1512"/>
            <w:shd w:val="clear" w:color="auto" w:fill="FFFFFF"/>
            <w:vAlign w:val="top"/>
            <w:tcW w:w="1814" w:type="dxa"/>
          </w:tcPr>
          <w:p>
            <w:r>
              <w:rPr>
                <w:sz w:val="18"/>
              </w:rPr>
              <w:t>ProClean 200 (1:50) + rinse</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Intake log sign-off</w:t>
            </w:r>
          </w:p>
        </w:tc>
      </w:tr>
      <w:tr>
        <w:tc>
          <w:tcPr>
            <w:tcW w:type="dxa" w:w="1512"/>
            <w:shd w:val="clear" w:color="auto" w:fill="F2F2F2"/>
            <w:vAlign w:val="top"/>
            <w:tcW w:w="2154" w:type="dxa"/>
          </w:tcPr>
          <w:p>
            <w:r>
              <w:rPr>
                <w:sz w:val="18"/>
              </w:rPr>
              <w:t>Grading &amp; Sorting Line</w:t>
            </w:r>
          </w:p>
        </w:tc>
        <w:tc>
          <w:tcPr>
            <w:tcW w:type="dxa" w:w="1512"/>
            <w:shd w:val="clear" w:color="auto" w:fill="F2F2F2"/>
            <w:vAlign w:val="top"/>
            <w:tcW w:w="1417" w:type="dxa"/>
          </w:tcPr>
          <w:p>
            <w:r>
              <w:rPr>
                <w:sz w:val="18"/>
              </w:rPr>
              <w:t>After each run / Daily</w:t>
            </w:r>
          </w:p>
        </w:tc>
        <w:tc>
          <w:tcPr>
            <w:tcW w:type="dxa" w:w="1512"/>
            <w:shd w:val="clear" w:color="auto" w:fill="F2F2F2"/>
            <w:vAlign w:val="top"/>
            <w:tcW w:w="3118" w:type="dxa"/>
          </w:tcPr>
          <w:p>
            <w:r>
              <w:rPr>
                <w:sz w:val="18"/>
              </w:rPr>
              <w:t>Remove product residue from conveyor belts, rollers, brushes. Wipe down all surfaces.</w:t>
            </w:r>
          </w:p>
        </w:tc>
        <w:tc>
          <w:tcPr>
            <w:tcW w:type="dxa" w:w="1512"/>
            <w:shd w:val="clear" w:color="auto" w:fill="F2F2F2"/>
            <w:vAlign w:val="top"/>
            <w:tcW w:w="1814" w:type="dxa"/>
          </w:tcPr>
          <w:p>
            <w:r>
              <w:rPr>
                <w:sz w:val="18"/>
              </w:rPr>
              <w:t>EnzymeClear Organic Remover (1:20)</w:t>
            </w:r>
          </w:p>
        </w:tc>
        <w:tc>
          <w:tcPr>
            <w:tcW w:type="dxa" w:w="1512"/>
            <w:shd w:val="clear" w:color="auto" w:fill="F2F2F2"/>
            <w:vAlign w:val="top"/>
            <w:tcW w:w="1587" w:type="dxa"/>
          </w:tcPr>
          <w:p>
            <w:r>
              <w:rPr>
                <w:sz w:val="18"/>
              </w:rPr>
              <w:t>Line Supervisor</w:t>
            </w:r>
          </w:p>
        </w:tc>
        <w:tc>
          <w:tcPr>
            <w:tcW w:type="dxa" w:w="1512"/>
            <w:shd w:val="clear" w:color="auto" w:fill="F2F2F2"/>
            <w:vAlign w:val="top"/>
            <w:tcW w:w="1530" w:type="dxa"/>
          </w:tcPr>
          <w:p>
            <w:r>
              <w:rPr>
                <w:sz w:val="18"/>
              </w:rPr>
              <w:t>Grading log</w:t>
            </w:r>
          </w:p>
        </w:tc>
      </w:tr>
      <w:tr>
        <w:tc>
          <w:tcPr>
            <w:tcW w:type="dxa" w:w="1512"/>
            <w:shd w:val="clear" w:color="auto" w:fill="FFFFFF"/>
            <w:vAlign w:val="top"/>
            <w:tcW w:w="2154" w:type="dxa"/>
          </w:tcPr>
          <w:p>
            <w:r>
              <w:rPr>
                <w:sz w:val="18"/>
              </w:rPr>
              <w:t>Packing Area / Line</w:t>
            </w:r>
          </w:p>
        </w:tc>
        <w:tc>
          <w:tcPr>
            <w:tcW w:type="dxa" w:w="1512"/>
            <w:shd w:val="clear" w:color="auto" w:fill="FFFFFF"/>
            <w:vAlign w:val="top"/>
            <w:tcW w:w="1417" w:type="dxa"/>
          </w:tcPr>
          <w:p>
            <w:r>
              <w:rPr>
                <w:sz w:val="18"/>
              </w:rPr>
              <w:t>End of each shift</w:t>
            </w:r>
          </w:p>
        </w:tc>
        <w:tc>
          <w:tcPr>
            <w:tcW w:type="dxa" w:w="1512"/>
            <w:shd w:val="clear" w:color="auto" w:fill="FFFFFF"/>
            <w:vAlign w:val="top"/>
            <w:tcW w:w="3118" w:type="dxa"/>
          </w:tcPr>
          <w:p>
            <w:r>
              <w:rPr>
                <w:sz w:val="18"/>
              </w:rPr>
              <w:t>Clear line of product. Sweep floor. Clean packing tables and equipment surfaces.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Packing Supervisor</w:t>
            </w:r>
          </w:p>
        </w:tc>
        <w:tc>
          <w:tcPr>
            <w:tcW w:type="dxa" w:w="1512"/>
            <w:shd w:val="clear" w:color="auto" w:fill="FFFFFF"/>
            <w:vAlign w:val="top"/>
            <w:tcW w:w="1530" w:type="dxa"/>
          </w:tcPr>
          <w:p>
            <w:r>
              <w:rPr>
                <w:sz w:val="18"/>
              </w:rPr>
              <w:t>Shift cleaning record</w:t>
            </w:r>
          </w:p>
        </w:tc>
      </w:tr>
      <w:tr>
        <w:tc>
          <w:tcPr>
            <w:tcW w:type="dxa" w:w="1512"/>
            <w:shd w:val="clear" w:color="auto" w:fill="F2F2F2"/>
            <w:vAlign w:val="top"/>
            <w:tcW w:w="2154" w:type="dxa"/>
          </w:tcPr>
          <w:p>
            <w:r>
              <w:rPr>
                <w:sz w:val="18"/>
              </w:rPr>
              <w:t>Cold Storage / Coolrooms</w:t>
            </w:r>
          </w:p>
        </w:tc>
        <w:tc>
          <w:tcPr>
            <w:tcW w:type="dxa" w:w="1512"/>
            <w:shd w:val="clear" w:color="auto" w:fill="F2F2F2"/>
            <w:vAlign w:val="top"/>
            <w:tcW w:w="1417" w:type="dxa"/>
          </w:tcPr>
          <w:p>
            <w:r>
              <w:rPr>
                <w:sz w:val="18"/>
              </w:rPr>
              <w:t>Monthly / Between loads</w:t>
            </w:r>
          </w:p>
        </w:tc>
        <w:tc>
          <w:tcPr>
            <w:tcW w:type="dxa" w:w="1512"/>
            <w:shd w:val="clear" w:color="auto" w:fill="F2F2F2"/>
            <w:vAlign w:val="top"/>
            <w:tcW w:w="3118" w:type="dxa"/>
          </w:tcPr>
          <w:p>
            <w:r>
              <w:rPr>
                <w:sz w:val="18"/>
              </w:rPr>
              <w:t>Defrost and clean evaporator coils. Wipe walls, shelves, floor. Check drain.</w:t>
            </w:r>
          </w:p>
        </w:tc>
        <w:tc>
          <w:tcPr>
            <w:tcW w:type="dxa" w:w="1512"/>
            <w:shd w:val="clear" w:color="auto" w:fill="F2F2F2"/>
            <w:vAlign w:val="top"/>
            <w:tcW w:w="1814" w:type="dxa"/>
          </w:tcPr>
          <w:p>
            <w:r>
              <w:rPr>
                <w:sz w:val="18"/>
              </w:rPr>
              <w:t>AcidRinse 500 (1:50) + QuatSan 100 (1:100)</w:t>
            </w:r>
          </w:p>
        </w:tc>
        <w:tc>
          <w:tcPr>
            <w:tcW w:type="dxa" w:w="1512"/>
            <w:shd w:val="clear" w:color="auto" w:fill="F2F2F2"/>
            <w:vAlign w:val="top"/>
            <w:tcW w:w="1587" w:type="dxa"/>
          </w:tcPr>
          <w:p>
            <w:r>
              <w:rPr>
                <w:sz w:val="18"/>
              </w:rPr>
              <w:t>Cold Store Manager</w:t>
            </w:r>
          </w:p>
        </w:tc>
        <w:tc>
          <w:tcPr>
            <w:tcW w:type="dxa" w:w="1512"/>
            <w:shd w:val="clear" w:color="auto" w:fill="F2F2F2"/>
            <w:vAlign w:val="top"/>
            <w:tcW w:w="1530" w:type="dxa"/>
          </w:tcPr>
          <w:p>
            <w:r>
              <w:rPr>
                <w:sz w:val="18"/>
              </w:rPr>
              <w:t>Cold store maintenance log</w:t>
            </w:r>
          </w:p>
        </w:tc>
      </w:tr>
      <w:tr>
        <w:tc>
          <w:tcPr>
            <w:tcW w:type="dxa" w:w="1512"/>
            <w:shd w:val="clear" w:color="auto" w:fill="FFFFFF"/>
            <w:vAlign w:val="top"/>
            <w:tcW w:w="2154" w:type="dxa"/>
          </w:tcPr>
          <w:p>
            <w:r>
              <w:rPr>
                <w:sz w:val="18"/>
              </w:rPr>
              <w:t>Pre-Cool Chamber</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Wipe walls and shelving. Check air circulation unit and drain for organic buildup.</w:t>
            </w:r>
          </w:p>
        </w:tc>
        <w:tc>
          <w:tcPr>
            <w:tcW w:type="dxa" w:w="1512"/>
            <w:shd w:val="clear" w:color="auto" w:fill="FFFFFF"/>
            <w:vAlign w:val="top"/>
            <w:tcW w:w="1814" w:type="dxa"/>
          </w:tcPr>
          <w:p>
            <w:r>
              <w:rPr>
                <w:sz w:val="18"/>
              </w:rPr>
              <w:t>QuatSan 100 (1:100)</w:t>
            </w:r>
          </w:p>
        </w:tc>
        <w:tc>
          <w:tcPr>
            <w:tcW w:type="dxa" w:w="1512"/>
            <w:shd w:val="clear" w:color="auto" w:fill="FFFFFF"/>
            <w:vAlign w:val="top"/>
            <w:tcW w:w="1587" w:type="dxa"/>
          </w:tcPr>
          <w:p>
            <w:r>
              <w:rPr>
                <w:sz w:val="18"/>
              </w:rPr>
              <w:t>Operations Staff</w:t>
            </w:r>
          </w:p>
        </w:tc>
        <w:tc>
          <w:tcPr>
            <w:tcW w:type="dxa" w:w="1512"/>
            <w:shd w:val="clear" w:color="auto" w:fill="FFFFFF"/>
            <w:vAlign w:val="top"/>
            <w:tcW w:w="1530" w:type="dxa"/>
          </w:tcPr>
          <w:p>
            <w:r>
              <w:rPr>
                <w:sz w:val="18"/>
              </w:rPr>
              <w:t>Weekly inspection log</w:t>
            </w:r>
          </w:p>
        </w:tc>
      </w:tr>
      <w:tr>
        <w:tc>
          <w:tcPr>
            <w:tcW w:type="dxa" w:w="1512"/>
            <w:shd w:val="clear" w:color="auto" w:fill="F2F2F2"/>
            <w:vAlign w:val="top"/>
            <w:tcW w:w="2154" w:type="dxa"/>
          </w:tcPr>
          <w:p>
            <w:r>
              <w:rPr>
                <w:sz w:val="18"/>
              </w:rPr>
              <w:t>Loading Dock / Dispatch</w:t>
            </w:r>
          </w:p>
        </w:tc>
        <w:tc>
          <w:tcPr>
            <w:tcW w:type="dxa" w:w="1512"/>
            <w:shd w:val="clear" w:color="auto" w:fill="F2F2F2"/>
            <w:vAlign w:val="top"/>
            <w:tcW w:w="1417" w:type="dxa"/>
          </w:tcPr>
          <w:p>
            <w:r>
              <w:rPr>
                <w:sz w:val="18"/>
              </w:rPr>
              <w:t>After each dispatch run</w:t>
            </w:r>
          </w:p>
        </w:tc>
        <w:tc>
          <w:tcPr>
            <w:tcW w:type="dxa" w:w="1512"/>
            <w:shd w:val="clear" w:color="auto" w:fill="F2F2F2"/>
            <w:vAlign w:val="top"/>
            <w:tcW w:w="3118" w:type="dxa"/>
          </w:tcPr>
          <w:p>
            <w:r>
              <w:rPr>
                <w:sz w:val="18"/>
              </w:rPr>
              <w:t>Remove packaging waste. Sweep dock floor. Check refrigerated transport door seal.</w:t>
            </w:r>
          </w:p>
        </w:tc>
        <w:tc>
          <w:tcPr>
            <w:tcW w:type="dxa" w:w="1512"/>
            <w:shd w:val="clear" w:color="auto" w:fill="F2F2F2"/>
            <w:vAlign w:val="top"/>
            <w:tcW w:w="1814" w:type="dxa"/>
          </w:tcPr>
          <w:p>
            <w:r>
              <w:rPr>
                <w:sz w:val="18"/>
              </w:rPr>
              <w:t>Dry sweep + spot clean</w:t>
            </w:r>
          </w:p>
        </w:tc>
        <w:tc>
          <w:tcPr>
            <w:tcW w:type="dxa" w:w="1512"/>
            <w:shd w:val="clear" w:color="auto" w:fill="F2F2F2"/>
            <w:vAlign w:val="top"/>
            <w:tcW w:w="1587" w:type="dxa"/>
          </w:tcPr>
          <w:p>
            <w:r>
              <w:rPr>
                <w:sz w:val="18"/>
              </w:rPr>
              <w:t>Dispatch Supervisor</w:t>
            </w:r>
          </w:p>
        </w:tc>
        <w:tc>
          <w:tcPr>
            <w:tcW w:type="dxa" w:w="1512"/>
            <w:shd w:val="clear" w:color="auto" w:fill="F2F2F2"/>
            <w:vAlign w:val="top"/>
            <w:tcW w:w="1530" w:type="dxa"/>
          </w:tcPr>
          <w:p>
            <w:r>
              <w:rPr>
                <w:sz w:val="18"/>
              </w:rPr>
              <w:t>Dispatch checklist</w:t>
            </w:r>
          </w:p>
        </w:tc>
      </w:tr>
      <w:tr>
        <w:tc>
          <w:tcPr>
            <w:tcW w:type="dxa" w:w="1512"/>
            <w:shd w:val="clear" w:color="auto" w:fill="FFFFFF"/>
            <w:vAlign w:val="top"/>
            <w:tcW w:w="2154" w:type="dxa"/>
          </w:tcPr>
          <w:p>
            <w:r>
              <w:rPr>
                <w:sz w:val="18"/>
              </w:rPr>
              <w:t>Floor Drains (all areas)</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covers. Flush with hot water and cleaning agent. Scrub drain channels.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Drain cleaning log</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and toilets. Wipe all surfaces.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Dock / Unloading Bay</w:t>
      </w:r>
    </w:p>
    <w:p>
      <w:r>
        <w:rPr>
          <w:b w:val="0"/>
          <w:i w:val="0"/>
          <w:sz w:val="20"/>
        </w:rPr>
        <w:t>After each produce intake: Remove all packing material (bins, cartons, netting) from dock. Sweep floor of organic debris (leaves, soil, rejected produce). Prepare ProClean 200 at 1:50. Apply to floor with scrubbing brush, allow 3-minute contact time, then rinse with pressure hose ensuring all residue is cleared to drain. Check dock door seals for damage. Sign intake log on completion.</w:t>
      </w:r>
    </w:p>
    <w:p>
      <w:pPr>
        <w:pStyle w:val="Heading2"/>
      </w:pPr>
      <w:r>
        <w:t>Grading &amp; Sorting Line</w:t>
      </w:r>
    </w:p>
    <w:p>
      <w:r>
        <w:rPr>
          <w:b w:val="0"/>
          <w:i w:val="0"/>
          <w:sz w:val="20"/>
        </w:rPr>
        <w:t>After each production run: Power down and isolate grading line before cleaning. Remove produce residue from conveyor belts and rollers manually. Prepare EnzymeClear at 1:20. Apply to belt surfaces, brushes, and rollers. Contact time 5 minutes. Wipe down all surfaces and rinse with clean water. Inspect brushes for wear or product trapping. Restart test run to confirm mechanical function. Record in Grading Log.</w:t>
      </w:r>
    </w:p>
    <w:p>
      <w:pPr>
        <w:pStyle w:val="Heading2"/>
      </w:pPr>
      <w:r>
        <w:t>Packing Area / Line</w:t>
      </w:r>
    </w:p>
    <w:p>
      <w:r>
        <w:rPr>
          <w:b w:val="0"/>
          <w:i w:val="0"/>
          <w:sz w:val="20"/>
        </w:rPr>
        <w:t>End of each shift: Clear all produce from packing tables and conveyor line. Remove used packaging film, cartons, and waste to the external waste bay. Prepare ProClean 200 at 1:50. Wipe packing tables, scales, and conveyor surfaces. Sweep and mop floor. Check under conveyor for accumulation. Packing Supervisor signs shift cleaning record before end of shift.</w:t>
      </w:r>
    </w:p>
    <w:p>
      <w:pPr>
        <w:pStyle w:val="Heading2"/>
      </w:pPr>
      <w:r>
        <w:t>Cold Storage / Coolrooms</w:t>
      </w:r>
    </w:p>
    <w:p>
      <w:r>
        <w:rPr>
          <w:b w:val="0"/>
          <w:i w:val="0"/>
          <w:sz w:val="20"/>
        </w:rPr>
        <w:t>Monthly and between commodity loads: Defrost evaporator coils per manufacturer instructions. Prepare AcidRinse 500 at 1:50. Apply to evaporator surfaces and drain tray to remove mineral scale. Rinse. Prepare QuatSan 100 at 1:100. Wipe all internal wall panels, shelving, and floor. Clear floor drains of accumulated organic material. Record temperature before re-loading. Cold Store Manager signs maintenance log.</w:t>
      </w:r>
    </w:p>
    <w:p>
      <w:pPr>
        <w:pStyle w:val="Heading2"/>
      </w:pPr>
      <w:r>
        <w:t>Pre-Cool Chamber</w:t>
      </w:r>
    </w:p>
    <w:p>
      <w:r>
        <w:rPr>
          <w:b w:val="0"/>
          <w:i w:val="0"/>
          <w:sz w:val="20"/>
        </w:rPr>
        <w:t>Designated staff are responsible for maintaining the Pre-Cool Chamber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Areas prone to organic residue accumulation include floor drain channels, conveyor return runs, and spaces under grading machinery. These areas are cleaned daily or as required to prevent fermentation, mould growth, and pest attraction.</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General floors, dock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EnzymeClear Organic Remover</w:t>
            </w:r>
          </w:p>
        </w:tc>
        <w:tc>
          <w:tcPr>
            <w:tcW w:type="dxa" w:w="1512"/>
            <w:shd w:val="clear" w:color="auto" w:fill="F2F2F2"/>
            <w:vAlign w:val="top"/>
            <w:tcW w:w="1984" w:type="dxa"/>
          </w:tcPr>
          <w:p>
            <w:r>
              <w:rPr>
                <w:sz w:val="18"/>
              </w:rPr>
              <w:t>FoodSafe Solutions</w:t>
            </w:r>
          </w:p>
        </w:tc>
        <w:tc>
          <w:tcPr>
            <w:tcW w:type="dxa" w:w="1512"/>
            <w:shd w:val="clear" w:color="auto" w:fill="F2F2F2"/>
            <w:vAlign w:val="top"/>
            <w:tcW w:w="1701" w:type="dxa"/>
          </w:tcPr>
          <w:p>
            <w:r>
              <w:rPr>
                <w:sz w:val="18"/>
              </w:rPr>
              <w:t>Enzyme cleaner</w:t>
            </w:r>
          </w:p>
        </w:tc>
        <w:tc>
          <w:tcPr>
            <w:tcW w:type="dxa" w:w="1512"/>
            <w:shd w:val="clear" w:color="auto" w:fill="F2F2F2"/>
            <w:vAlign w:val="top"/>
            <w:tcW w:w="1417" w:type="dxa"/>
          </w:tcPr>
          <w:p>
            <w:r>
              <w:rPr>
                <w:sz w:val="18"/>
              </w:rPr>
              <w:t>1:20 in water</w:t>
            </w:r>
          </w:p>
        </w:tc>
        <w:tc>
          <w:tcPr>
            <w:tcW w:type="dxa" w:w="1512"/>
            <w:shd w:val="clear" w:color="auto" w:fill="F2F2F2"/>
            <w:vAlign w:val="top"/>
            <w:tcW w:w="2268" w:type="dxa"/>
          </w:tcPr>
          <w:p>
            <w:r>
              <w:rPr>
                <w:sz w:val="18"/>
              </w:rPr>
              <w:t>Grading line, conveyor belts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QuatSan 100 Surface Sanitiser</w:t>
            </w:r>
          </w:p>
        </w:tc>
        <w:tc>
          <w:tcPr>
            <w:tcW w:type="dxa" w:w="1512"/>
            <w:shd w:val="clear" w:color="auto" w:fill="FFFFFF"/>
            <w:vAlign w:val="top"/>
            <w:tcW w:w="1984" w:type="dxa"/>
          </w:tcPr>
          <w:p>
            <w:r>
              <w:rPr>
                <w:sz w:val="18"/>
              </w:rPr>
              <w:t>SaniPro Pty Ltd</w:t>
            </w:r>
          </w:p>
        </w:tc>
        <w:tc>
          <w:tcPr>
            <w:tcW w:type="dxa" w:w="1512"/>
            <w:shd w:val="clear" w:color="auto" w:fill="FFFFFF"/>
            <w:vAlign w:val="top"/>
            <w:tcW w:w="1701" w:type="dxa"/>
          </w:tcPr>
          <w:p>
            <w:r>
              <w:rPr>
                <w:sz w:val="18"/>
              </w:rPr>
              <w:t>QAC sanitiser</w:t>
            </w:r>
          </w:p>
        </w:tc>
        <w:tc>
          <w:tcPr>
            <w:tcW w:type="dxa" w:w="1512"/>
            <w:shd w:val="clear" w:color="auto" w:fill="FFFFFF"/>
            <w:vAlign w:val="top"/>
            <w:tcW w:w="1417" w:type="dxa"/>
          </w:tcPr>
          <w:p>
            <w:r>
              <w:rPr>
                <w:sz w:val="18"/>
              </w:rPr>
              <w:t>1:100 in water</w:t>
            </w:r>
          </w:p>
        </w:tc>
        <w:tc>
          <w:tcPr>
            <w:tcW w:type="dxa" w:w="1512"/>
            <w:shd w:val="clear" w:color="auto" w:fill="FFFFFF"/>
            <w:vAlign w:val="top"/>
            <w:tcW w:w="2268" w:type="dxa"/>
          </w:tcPr>
          <w:p>
            <w:r>
              <w:rPr>
                <w:sz w:val="18"/>
              </w:rPr>
              <w:t>Packing tables, amenities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AcidRinse 500 Descaler</w:t>
            </w:r>
          </w:p>
        </w:tc>
        <w:tc>
          <w:tcPr>
            <w:tcW w:type="dxa" w:w="1512"/>
            <w:shd w:val="clear" w:color="auto" w:fill="F2F2F2"/>
            <w:vAlign w:val="top"/>
            <w:tcW w:w="1984" w:type="dxa"/>
          </w:tcPr>
          <w:p>
            <w:r>
              <w:rPr>
                <w:sz w:val="18"/>
              </w:rPr>
              <w:t>AgriChem Aust</w:t>
            </w:r>
          </w:p>
        </w:tc>
        <w:tc>
          <w:tcPr>
            <w:tcW w:type="dxa" w:w="1512"/>
            <w:shd w:val="clear" w:color="auto" w:fill="F2F2F2"/>
            <w:vAlign w:val="top"/>
            <w:tcW w:w="1701" w:type="dxa"/>
          </w:tcPr>
          <w:p>
            <w:r>
              <w:rPr>
                <w:sz w:val="18"/>
              </w:rPr>
              <w:t>Acidic cleaner</w:t>
            </w:r>
          </w:p>
        </w:tc>
        <w:tc>
          <w:tcPr>
            <w:tcW w:type="dxa" w:w="1512"/>
            <w:shd w:val="clear" w:color="auto" w:fill="F2F2F2"/>
            <w:vAlign w:val="top"/>
            <w:tcW w:w="1417" w:type="dxa"/>
          </w:tcPr>
          <w:p>
            <w:r>
              <w:rPr>
                <w:sz w:val="18"/>
              </w:rPr>
              <w:t>1:50 in water</w:t>
            </w:r>
          </w:p>
        </w:tc>
        <w:tc>
          <w:tcPr>
            <w:tcW w:type="dxa" w:w="1512"/>
            <w:shd w:val="clear" w:color="auto" w:fill="F2F2F2"/>
            <w:vAlign w:val="top"/>
            <w:tcW w:w="2268" w:type="dxa"/>
          </w:tcPr>
          <w:p>
            <w:r>
              <w:rPr>
                <w:sz w:val="18"/>
              </w:rPr>
              <w:t>Coolroom coils, drain channels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BioDegreaser FD Food-Grade</w:t>
            </w:r>
          </w:p>
        </w:tc>
        <w:tc>
          <w:tcPr>
            <w:tcW w:type="dxa" w:w="1512"/>
            <w:shd w:val="clear" w:color="auto" w:fill="FFFFFF"/>
            <w:vAlign w:val="top"/>
            <w:tcW w:w="1984" w:type="dxa"/>
          </w:tcPr>
          <w:p>
            <w:r>
              <w:rPr>
                <w:sz w:val="18"/>
              </w:rPr>
              <w:t>CleanTech Aust</w:t>
            </w:r>
          </w:p>
        </w:tc>
        <w:tc>
          <w:tcPr>
            <w:tcW w:type="dxa" w:w="1512"/>
            <w:shd w:val="clear" w:color="auto" w:fill="FFFFFF"/>
            <w:vAlign w:val="top"/>
            <w:tcW w:w="1701" w:type="dxa"/>
          </w:tcPr>
          <w:p>
            <w:r>
              <w:rPr>
                <w:sz w:val="18"/>
              </w:rPr>
              <w:t>Food-grade degreaser</w:t>
            </w:r>
          </w:p>
        </w:tc>
        <w:tc>
          <w:tcPr>
            <w:tcW w:type="dxa" w:w="1512"/>
            <w:shd w:val="clear" w:color="auto" w:fill="FFFFFF"/>
            <w:vAlign w:val="top"/>
            <w:tcW w:w="1417" w:type="dxa"/>
          </w:tcPr>
          <w:p>
            <w:r>
              <w:rPr>
                <w:sz w:val="18"/>
              </w:rPr>
              <w:t>1:25 in water</w:t>
            </w:r>
          </w:p>
        </w:tc>
        <w:tc>
          <w:tcPr>
            <w:tcW w:type="dxa" w:w="1512"/>
            <w:shd w:val="clear" w:color="auto" w:fill="FFFFFF"/>
            <w:vAlign w:val="top"/>
            <w:tcW w:w="2268" w:type="dxa"/>
          </w:tcPr>
          <w:p>
            <w:r>
              <w:rPr>
                <w:sz w:val="18"/>
              </w:rPr>
              <w:t>Machinery, conveyor chain</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The establishment operates a digital hygiene management system (AgriCompliance Pro) for recording all cleaning activities. Paper originals are scanned and archived within 48 hours. Records are retained for a minimum of two years and are available for audit on request.</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Independent third-party hygiene audits are conducted twice annually. Between audits, internal verification is carried out by the establishment manager using a standardised checklist.</w:t>
      </w:r>
    </w:p>
    <w:p/>
    <w:p>
      <w:pPr>
        <w:pStyle w:val="Heading1"/>
      </w:pPr>
      <w:r>
        <w:rPr>
          <w:color w:val="1F497D"/>
        </w:rPr>
        <w:t>10.  NON-CONFORMANCE AND CORRECTIVE ACTION</w:t>
      </w:r>
    </w:p>
    <w:p>
      <w:r>
        <w:rPr>
          <w:b w:val="0"/>
          <w:i w:val="0"/>
          <w:sz w:val="20"/>
        </w:rPr>
        <w:t>Any area found to be in an unacceptable hygiene condition is withdrawn from service. Cleaning is repeated and verified before re-use. All corrective actions are documented and reviewed at the monthly management meeting.</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Mould growth was observed on the north wall of the coolroom adjacent to the condenser unit during the inspection conducted on 22 October 2025. The area has been identified for remediation. A contractor assessment has been requested. The affected storage unit has been taken out of service pending treatment.</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Louise Baird</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22 October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22 October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