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Port Pirie Grain Terminals</w:t>
            </w:r>
          </w:p>
        </w:tc>
      </w:tr>
      <w:tr>
        <w:tc>
          <w:tcPr>
            <w:tcW w:type="dxa" w:w="3118"/>
            <w:shd w:val="clear" w:color="auto" w:fill="DCE6F1"/>
          </w:tcPr>
          <w:p>
            <w:r>
              <w:rPr>
                <w:b/>
                <w:sz w:val="18"/>
              </w:rPr>
              <w:t>RE Number</w:t>
            </w:r>
          </w:p>
        </w:tc>
        <w:tc>
          <w:tcPr>
            <w:tcW w:type="dxa" w:w="6236"/>
          </w:tcPr>
          <w:p>
            <w:r>
              <w:rPr>
                <w:sz w:val="18"/>
              </w:rPr>
              <w:t>RE-SA-2021-0222</w:t>
            </w:r>
          </w:p>
        </w:tc>
      </w:tr>
      <w:tr>
        <w:tc>
          <w:tcPr>
            <w:tcW w:type="dxa" w:w="3118"/>
            <w:shd w:val="clear" w:color="auto" w:fill="DCE6F1"/>
          </w:tcPr>
          <w:p>
            <w:r>
              <w:rPr>
                <w:b/>
                <w:sz w:val="18"/>
              </w:rPr>
              <w:t>State</w:t>
            </w:r>
          </w:p>
        </w:tc>
        <w:tc>
          <w:tcPr>
            <w:tcW w:type="dxa" w:w="6236"/>
            <w:shd w:val="clear" w:color="auto" w:fill="F2F2F2"/>
          </w:tcPr>
          <w:p>
            <w:r>
              <w:rPr>
                <w:sz w:val="18"/>
              </w:rPr>
              <w:t>SA</w:t>
            </w:r>
          </w:p>
        </w:tc>
      </w:tr>
      <w:tr>
        <w:tc>
          <w:tcPr>
            <w:tcW w:type="dxa" w:w="3118"/>
            <w:shd w:val="clear" w:color="auto" w:fill="DCE6F1"/>
          </w:tcPr>
          <w:p>
            <w:r>
              <w:rPr>
                <w:b/>
                <w:sz w:val="18"/>
              </w:rPr>
              <w:t>Property Address</w:t>
            </w:r>
          </w:p>
        </w:tc>
        <w:tc>
          <w:tcPr>
            <w:tcW w:type="dxa" w:w="6236"/>
          </w:tcPr>
          <w:p>
            <w:r>
              <w:rPr>
                <w:sz w:val="18"/>
              </w:rPr>
              <w:t>1 Ellen Street, Port Pirie SA 5540</w:t>
            </w:r>
          </w:p>
        </w:tc>
      </w:tr>
      <w:tr>
        <w:tc>
          <w:tcPr>
            <w:tcW w:type="dxa" w:w="3118"/>
            <w:shd w:val="clear" w:color="auto" w:fill="DCE6F1"/>
          </w:tcPr>
          <w:p>
            <w:r>
              <w:rPr>
                <w:b/>
                <w:sz w:val="18"/>
              </w:rPr>
              <w:t>Registered Commodity</w:t>
            </w:r>
          </w:p>
        </w:tc>
        <w:tc>
          <w:tcPr>
            <w:tcW w:type="dxa" w:w="6236"/>
            <w:shd w:val="clear" w:color="auto" w:fill="F2F2F2"/>
          </w:tcPr>
          <w:p>
            <w:r>
              <w:rPr>
                <w:sz w:val="18"/>
              </w:rPr>
              <w:t>Lentils and Chickpeas</w:t>
            </w:r>
          </w:p>
        </w:tc>
      </w:tr>
      <w:tr>
        <w:tc>
          <w:tcPr>
            <w:tcW w:type="dxa" w:w="3118"/>
            <w:shd w:val="clear" w:color="auto" w:fill="DCE6F1"/>
          </w:tcPr>
          <w:p>
            <w:r>
              <w:rPr>
                <w:b/>
                <w:sz w:val="18"/>
              </w:rPr>
              <w:t>Map Version</w:t>
            </w:r>
          </w:p>
        </w:tc>
        <w:tc>
          <w:tcPr>
            <w:tcW w:type="dxa" w:w="6236"/>
          </w:tcPr>
          <w:p>
            <w:r>
              <w:rPr>
                <w:sz w:val="18"/>
              </w:rPr>
              <w:t>v2.9</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QA Coordinator</w:t>
            </w:r>
          </w:p>
        </w:tc>
      </w:tr>
    </w:tbl>
    <w:p/>
    <w:p>
      <w:pPr>
        <w:spacing w:before="200" w:after="60"/>
      </w:pPr>
      <w:r>
        <w:rPr>
          <w:b/>
          <w:color w:val="1F497D"/>
          <w:sz w:val="26"/>
        </w:rPr>
        <w:t>1. Pest Control System Overview</w:t>
      </w:r>
    </w:p>
    <w:p>
      <w:r>
        <w:rPr>
          <w:b w:val="0"/>
          <w:i w:val="0"/>
          <w:sz w:val="18"/>
        </w:rPr>
        <w:t>Integrated pest management applies rodent surveillance using 13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Water ingress</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Loose anchor</w:t>
            </w:r>
          </w:p>
        </w:tc>
        <w:tc>
          <w:tcPr>
            <w:tcW w:type="dxa" w:w="1568"/>
          </w:tcPr>
          <w:p>
            <w:r>
              <w:rPr>
                <w:sz w:val="16"/>
              </w:rPr>
              <w:t>Map reference pending</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Port Pirie Grain Terminals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