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MANAGEMESA PLAN</w:t>
      </w:r>
    </w:p>
    <w:p/>
    <w:p>
      <w:pPr>
        <w:jc w:val="center"/>
      </w:pPr>
      <w:r>
        <w:rPr>
          <w:i/>
          <w:sz w:val="20"/>
        </w:rPr>
        <w:t>Registered Establishment — Export Control (Plants and Plant Products) Rules 2021</w:t>
      </w:r>
    </w:p>
    <w:p/>
    <w:p>
      <w:pPr>
        <w:pStyle w:val="Heading1"/>
      </w:pPr>
      <w:r>
        <w:rPr>
          <w:color w:val="1F497D"/>
        </w:rPr>
        <w:t>1.  ESTABLISHMESA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Yorke Grain and Pulse</w:t>
            </w:r>
          </w:p>
        </w:tc>
      </w:tr>
      <w:tr>
        <w:tc>
          <w:tcPr>
            <w:tcW w:type="dxa" w:w="4536"/>
            <w:shd w:val="clear" w:color="auto" w:fill="1F497D"/>
            <w:vAlign w:val="center"/>
          </w:tcPr>
          <w:p>
            <w:r>
              <w:rPr>
                <w:b/>
                <w:color w:val="FFFFFF"/>
                <w:sz w:val="18"/>
              </w:rPr>
              <w:t>RE Number</w:t>
            </w:r>
          </w:p>
        </w:tc>
        <w:tc>
          <w:tcPr>
            <w:tcW w:type="dxa" w:w="4536"/>
          </w:tcPr>
          <w:p>
            <w:r>
              <w:rPr>
                <w:sz w:val="18"/>
              </w:rPr>
              <w:t>RE-SA-2022-0033</w:t>
            </w:r>
          </w:p>
        </w:tc>
      </w:tr>
      <w:tr>
        <w:tc>
          <w:tcPr>
            <w:tcW w:type="dxa" w:w="4536"/>
            <w:shd w:val="clear" w:color="auto" w:fill="1F497D"/>
            <w:vAlign w:val="center"/>
          </w:tcPr>
          <w:p>
            <w:r>
              <w:rPr>
                <w:b/>
                <w:color w:val="FFFFFF"/>
                <w:sz w:val="18"/>
              </w:rPr>
              <w:t>State / Territory</w:t>
            </w:r>
          </w:p>
        </w:tc>
        <w:tc>
          <w:tcPr>
            <w:tcW w:type="dxa" w:w="4536"/>
          </w:tcPr>
          <w:p>
            <w:r>
              <w:rPr>
                <w:sz w:val="18"/>
              </w:rPr>
              <w:t>SA</w:t>
            </w:r>
          </w:p>
        </w:tc>
      </w:tr>
      <w:tr>
        <w:tc>
          <w:tcPr>
            <w:tcW w:type="dxa" w:w="4536"/>
            <w:shd w:val="clear" w:color="auto" w:fill="1F497D"/>
            <w:vAlign w:val="center"/>
          </w:tcPr>
          <w:p>
            <w:r>
              <w:rPr>
                <w:b/>
                <w:color w:val="FFFFFF"/>
                <w:sz w:val="18"/>
              </w:rPr>
              <w:t>Property Address</w:t>
            </w:r>
          </w:p>
        </w:tc>
        <w:tc>
          <w:tcPr>
            <w:tcW w:type="dxa" w:w="4536"/>
          </w:tcPr>
          <w:p>
            <w:r>
              <w:rPr>
                <w:sz w:val="18"/>
              </w:rPr>
              <w:t>88 Port Wakefield Road, Balaklava SA 5461</w:t>
            </w:r>
          </w:p>
        </w:tc>
      </w:tr>
      <w:tr>
        <w:tc>
          <w:tcPr>
            <w:tcW w:type="dxa" w:w="4536"/>
            <w:shd w:val="clear" w:color="auto" w:fill="1F497D"/>
            <w:vAlign w:val="center"/>
          </w:tcPr>
          <w:p>
            <w:r>
              <w:rPr>
                <w:b/>
                <w:color w:val="FFFFFF"/>
                <w:sz w:val="18"/>
              </w:rPr>
              <w:t>Registered Commodity</w:t>
            </w:r>
          </w:p>
        </w:tc>
        <w:tc>
          <w:tcPr>
            <w:tcW w:type="dxa" w:w="4536"/>
          </w:tcPr>
          <w:p>
            <w:r>
              <w:rPr>
                <w:sz w:val="18"/>
              </w:rPr>
              <w:t>Cucumbers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Nathan Cross</w:t>
            </w:r>
          </w:p>
        </w:tc>
      </w:tr>
      <w:tr>
        <w:tc>
          <w:tcPr>
            <w:tcW w:type="dxa" w:w="4536"/>
            <w:shd w:val="clear" w:color="auto" w:fill="1F497D"/>
            <w:vAlign w:val="center"/>
          </w:tcPr>
          <w:p>
            <w:r>
              <w:rPr>
                <w:b/>
                <w:color w:val="FFFFFF"/>
                <w:sz w:val="18"/>
              </w:rPr>
              <w:t>Property Area</w:t>
            </w:r>
          </w:p>
        </w:tc>
        <w:tc>
          <w:tcPr>
            <w:tcW w:type="dxa" w:w="4536"/>
          </w:tcPr>
          <w:p>
            <w:r>
              <w:rPr>
                <w:sz w:val="18"/>
              </w:rPr>
              <w:t>95.0 ha</w:t>
            </w:r>
          </w:p>
        </w:tc>
      </w:tr>
      <w:tr>
        <w:tc>
          <w:tcPr>
            <w:tcW w:type="dxa" w:w="4536"/>
            <w:shd w:val="clear" w:color="auto" w:fill="1F497D"/>
            <w:vAlign w:val="center"/>
          </w:tcPr>
          <w:p>
            <w:r>
              <w:rPr>
                <w:b/>
                <w:color w:val="FFFFFF"/>
                <w:sz w:val="18"/>
              </w:rPr>
              <w:t>Document Version</w:t>
            </w:r>
          </w:p>
        </w:tc>
        <w:tc>
          <w:tcPr>
            <w:tcW w:type="dxa" w:w="4536"/>
          </w:tcPr>
          <w:p>
            <w:r>
              <w:rPr>
                <w:sz w:val="18"/>
              </w:rPr>
              <w:t>3.4</w:t>
            </w:r>
          </w:p>
        </w:tc>
      </w:tr>
      <w:tr>
        <w:tc>
          <w:tcPr>
            <w:tcW w:type="dxa" w:w="4536"/>
            <w:shd w:val="clear" w:color="auto" w:fill="1F497D"/>
            <w:vAlign w:val="center"/>
          </w:tcPr>
          <w:p>
            <w:r>
              <w:rPr>
                <w:b/>
                <w:color w:val="FFFFFF"/>
                <w:sz w:val="18"/>
              </w:rPr>
              <w:t>Plan Date</w:t>
            </w:r>
          </w:p>
        </w:tc>
        <w:tc>
          <w:tcPr>
            <w:tcW w:type="dxa" w:w="4536"/>
          </w:tcPr>
          <w:p>
            <w:r>
              <w:rPr>
                <w:sz w:val="18"/>
              </w:rPr>
              <w:t>23 August 2025</w:t>
            </w:r>
          </w:p>
        </w:tc>
      </w:tr>
      <w:tr>
        <w:tc>
          <w:tcPr>
            <w:tcW w:type="dxa" w:w="4536"/>
            <w:shd w:val="clear" w:color="auto" w:fill="1F497D"/>
            <w:vAlign w:val="center"/>
          </w:tcPr>
          <w:p>
            <w:r>
              <w:rPr>
                <w:b/>
                <w:color w:val="FFFFFF"/>
                <w:sz w:val="18"/>
              </w:rPr>
              <w:t>Next Review</w:t>
            </w:r>
          </w:p>
        </w:tc>
        <w:tc>
          <w:tcPr>
            <w:tcW w:type="dxa" w:w="4536"/>
          </w:tcPr>
          <w:p>
            <w:r>
              <w:rPr>
                <w:sz w:val="18"/>
              </w:rPr>
              <w:t>23 August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Yorke Grain and Pulse used in horticultural packing and cold-chain export operations for Cucumbers.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Cucumbers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Nathan Cross</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MANAGEMESA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ESTABLISHMESA CONDITION ASSESSMESA</w:t>
      </w:r>
    </w:p>
    <w:p>
      <w:r>
        <w:rPr>
          <w:i/>
          <w:color w:val="555555"/>
          <w:sz w:val="18"/>
        </w:rPr>
        <w:t>Rules s4-6 — establishment to be maintained in a condition appropriate for export operations (C5)</w:t>
      </w:r>
    </w:p>
    <w:p/>
    <w:p>
      <w:r>
        <w:rPr>
          <w:b w:val="0"/>
          <w:i w:val="0"/>
          <w:sz w:val="20"/>
        </w:rPr>
        <w:t>At the most recent internal inspection (23 August 2025), all areas of Yorke Grain and Pulse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Nathan Cross</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23 August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23 August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