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North Queensland Grain Terminal Pty Ltd</w:t>
            </w:r>
          </w:p>
        </w:tc>
        <w:tc>
          <w:tcPr>
            <w:tcW w:type="dxa" w:w="4703"/>
          </w:tcPr>
          <w:p>
            <w:r>
              <w:rPr>
                <w:sz w:val="16"/>
              </w:rPr>
              <w:t>RE Number:   RE-SA-1547</w:t>
              <w:br/>
            </w:r>
            <w:r>
              <w:rPr>
                <w:sz w:val="16"/>
              </w:rPr>
              <w:t>Doc Ref:        NQGT-HACCP-004</w:t>
              <w:br/>
            </w:r>
            <w:r>
              <w:rPr>
                <w:sz w:val="16"/>
              </w:rPr>
              <w:t>Version:        2.0</w:t>
              <w:br/>
            </w:r>
            <w:r>
              <w:rPr>
                <w:sz w:val="16"/>
              </w:rPr>
              <w:t>Date:             April 2025</w:t>
              <w:br/>
            </w:r>
            <w:r>
              <w:rPr>
                <w:sz w:val="16"/>
              </w:rPr>
              <w:t>State:            Queensland</w:t>
              <w:br/>
            </w:r>
          </w:p>
        </w:tc>
      </w:tr>
    </w:tbl>
    <w:p>
      <w:pPr>
        <w:spacing w:before="200" w:after="60"/>
      </w:pPr>
      <w:r>
        <w:rPr>
          <w:b/>
          <w:color w:val="1F497D"/>
          <w:sz w:val="24"/>
        </w:rPr>
        <w:t>1. Introduction, Scope and Product Description</w:t>
      </w:r>
    </w:p>
    <w:p>
      <w:pPr>
        <w:spacing w:after="60"/>
      </w:pPr>
      <w:r>
        <w:rPr>
          <w:sz w:val="20"/>
        </w:rPr>
        <w:t>Establishment: North Queensland Grain Terminal Pty Ltd</w:t>
      </w:r>
    </w:p>
    <w:p>
      <w:pPr>
        <w:spacing w:after="60"/>
      </w:pPr>
      <w:r>
        <w:rPr>
          <w:sz w:val="20"/>
        </w:rPr>
        <w:t>Address: Port Access Road, Lucinda SA 4850</w:t>
      </w:r>
    </w:p>
    <w:p>
      <w:pPr>
        <w:spacing w:after="60"/>
      </w:pPr>
      <w:r>
        <w:rPr>
          <w:sz w:val="20"/>
        </w:rPr>
        <w:t>Commodity: Food-grade Sorghum (white), Hard Winter Wheat</w:t>
      </w:r>
    </w:p>
    <w:p>
      <w:pPr>
        <w:spacing w:after="60"/>
      </w:pPr>
      <w:r>
        <w:rPr>
          <w:sz w:val="20"/>
        </w:rPr>
        <w:t>Scope: Receival, blending, storage, cleaning and bulk loading of food-grade sorghum and wheat at Lucinda port terminal for export. Registered area RE-SA-1547.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Mark Dubois (Terminal Manager — Lead)</w:t>
      </w:r>
    </w:p>
    <w:p>
      <w:pPr>
        <w:pStyle w:val="ListBullet"/>
        <w:spacing w:after="40"/>
      </w:pPr>
      <w:r>
        <w:rPr>
          <w:sz w:val="20"/>
        </w:rPr>
        <w:t>Jenny Yuen (Quality Coordinator)</w:t>
      </w:r>
    </w:p>
    <w:p>
      <w:pPr>
        <w:pStyle w:val="ListBullet"/>
        <w:spacing w:after="40"/>
      </w:pPr>
      <w:r>
        <w:rPr>
          <w:sz w:val="20"/>
        </w:rPr>
        <w:t>Brett Saunders (Grain Handler — Level 3)</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sz w:val="20"/>
        </w:rPr>
        <w:t>Waste Management Procedure (NQGT-WMP-001):</w:t>
        <w:br/>
        <w:t>• Screenings: scalper waste in sealed skip; removed by contractor to composting monthly.</w:t>
        <w:br/>
        <w:t>• Grain dust: cyclone collector emptied weekly; removed to composting.</w:t>
        <w:br/>
        <w:t>• Vessel hold washings: water + grain residues pumped to shore reception; disposed per port environmental regulations.</w:t>
        <w:br/>
        <w:t>• Chemical waste: fumigant sachets disposed per APVMA requirements.</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sz w:val="20"/>
        </w:rPr>
        <w:t>Traceability System (NQGT-TRACE-001):</w:t>
        <w:br/>
        <w:t>• Receival dockets: grower → truck rego → weight → silo allocation.</w:t>
        <w:br/>
        <w:t>• Silo inventory log: daily balance per silo.</w:t>
        <w:br/>
        <w:t>• Vessel loading manifest: lists source silos, quantities, blending ratios, fumigation certificate ref.</w:t>
        <w:br/>
        <w:t>• Retained 2 years.</w:t>
      </w:r>
    </w:p>
    <w:p>
      <w:pPr>
        <w:spacing w:before="200" w:after="60"/>
      </w:pPr>
      <w:r>
        <w:rPr>
          <w:b/>
          <w:color w:val="1F497D"/>
          <w:sz w:val="24"/>
        </w:rPr>
        <w:t>9. Product Flow Chart and Failed Goods (Checking Point 4.1)</w:t>
      </w:r>
    </w:p>
    <w:p>
      <w:pPr>
        <w:spacing w:after="60"/>
      </w:pPr>
      <w:r>
        <w:rPr>
          <w:sz w:val="20"/>
        </w:rPr>
        <w:t>Product flow chart: see Section 3 Process Flow Diagram.</w:t>
      </w:r>
    </w:p>
    <w:p>
      <w:pPr>
        <w:spacing w:after="60"/>
      </w:pPr>
      <w:r>
        <w:rPr>
          <w:sz w:val="20"/>
        </w:rPr>
        <w:t>Failed Goods Procedure (NQGT-FGP-001):</w:t>
        <w:br/>
        <w:t>• Mycotoxin/MRL failure: silo on HOLD; NATA retest; if confirmed — downgrade to domestic feed.</w:t>
        <w:br/>
        <w:t>• Vessel rejection: grain returned to terminal silo; re-inspect; document; DAFF notified.</w:t>
        <w:br/>
        <w:t>• Records: Non-Conformance Register (NQGT-NCR-01).</w:t>
      </w:r>
    </w:p>
    <w:p>
      <w:pPr>
        <w:spacing w:before="200" w:after="60"/>
      </w:pPr>
      <w:r>
        <w:rPr>
          <w:b/>
          <w:color w:val="1F497D"/>
          <w:sz w:val="24"/>
        </w:rPr>
        <w:t>10. Phytosanitary Security / Contamination Risk (Checking Point 4.2)</w:t>
      </w:r>
    </w:p>
    <w:p>
      <w:pPr>
        <w:spacing w:after="60"/>
      </w:pPr>
      <w:r>
        <w:rPr>
          <w:sz w:val="20"/>
        </w:rPr>
        <w:t>Phytosanitary Security (NQGT-PSP-001):</w:t>
        <w:br/>
        <w:t>• Vessel hold surveyed and approved by DAFF before loading.</w:t>
        <w:br/>
        <w:t>• Phytosanitary certificate issued per vessel by DAFF.</w:t>
        <w:br/>
        <w:t>• Post-fumigation grain not moved until DAFF sampling complete.</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2.0</w:t>
            </w:r>
          </w:p>
        </w:tc>
        <w:tc>
          <w:tcPr>
            <w:tcW w:type="dxa" w:w="2351"/>
          </w:tcPr>
          <w:p>
            <w:pPr>
              <w:jc w:val="center"/>
            </w:pPr>
            <w:r/>
            <w:r>
              <w:rPr>
                <w:sz w:val="16"/>
              </w:rPr>
              <w:t>April 2025</w:t>
            </w:r>
          </w:p>
        </w:tc>
        <w:tc>
          <w:tcPr>
            <w:tcW w:type="dxa" w:w="2351"/>
          </w:tcPr>
          <w:p>
            <w:pPr>
              <w:jc w:val="center"/>
            </w:pPr>
            <w:r/>
            <w:r>
              <w:rPr>
                <w:sz w:val="16"/>
              </w:rPr>
              <w:t>Mark Dubois (Terminal Manager</w:t>
            </w:r>
          </w:p>
        </w:tc>
        <w:tc>
          <w:tcPr>
            <w:tcW w:type="dxa" w:w="2351"/>
          </w:tcPr>
          <w:p>
            <w:pPr>
              <w:jc w:val="center"/>
            </w:pPr>
            <w:r/>
            <w:r>
              <w:rPr>
                <w:sz w:val="16"/>
              </w:rPr>
              <w:t>Current approved version — see document history</w:t>
            </w:r>
          </w:p>
        </w:tc>
      </w:tr>
    </w:tbl>
    <w:p/>
    <w:p>
      <w:pPr>
        <w:spacing w:after="60"/>
      </w:pPr>
      <w:r>
        <w:rPr>
          <w:sz w:val="20"/>
        </w:rPr>
        <w:t>Approved by:  Mark Dubois (Terminal Manager  |  Title: HACCP Lead  |  Date: April 2025</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