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Yorke Peninsula Agri Pty Ltd</w:t>
            </w:r>
          </w:p>
        </w:tc>
      </w:tr>
      <w:tr>
        <w:tc>
          <w:tcPr>
            <w:tcW w:type="dxa" w:w="4536"/>
            <w:shd w:val="clear" w:color="auto" w:fill="1F497D"/>
            <w:vAlign w:val="center"/>
          </w:tcPr>
          <w:p>
            <w:r>
              <w:rPr>
                <w:b/>
                <w:color w:val="FFFFFF"/>
                <w:sz w:val="18"/>
              </w:rPr>
              <w:t>RE Number</w:t>
            </w:r>
          </w:p>
        </w:tc>
        <w:tc>
          <w:tcPr>
            <w:tcW w:type="dxa" w:w="4536"/>
          </w:tcPr>
          <w:p>
            <w:r>
              <w:rPr>
                <w:sz w:val="18"/>
              </w:rPr>
              <w:t>RE-SA-2023-0055</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34 Copper Coast Highway, Kadina SA 5554</w:t>
            </w:r>
          </w:p>
        </w:tc>
      </w:tr>
      <w:tr>
        <w:tc>
          <w:tcPr>
            <w:tcW w:type="dxa" w:w="4536"/>
            <w:shd w:val="clear" w:color="auto" w:fill="1F497D"/>
            <w:vAlign w:val="center"/>
          </w:tcPr>
          <w:p>
            <w:r>
              <w:rPr>
                <w:b/>
                <w:color w:val="FFFFFF"/>
                <w:sz w:val="18"/>
              </w:rPr>
              <w:t>Registered Commodity</w:t>
            </w:r>
          </w:p>
        </w:tc>
        <w:tc>
          <w:tcPr>
            <w:tcW w:type="dxa" w:w="4536"/>
          </w:tcPr>
          <w:p>
            <w:r>
              <w:rPr>
                <w:sz w:val="18"/>
              </w:rPr>
              <w:t>Citrus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Maria Nguyen</w:t>
            </w:r>
          </w:p>
        </w:tc>
      </w:tr>
      <w:tr>
        <w:tc>
          <w:tcPr>
            <w:tcW w:type="dxa" w:w="4536"/>
            <w:shd w:val="clear" w:color="auto" w:fill="1F497D"/>
            <w:vAlign w:val="center"/>
          </w:tcPr>
          <w:p>
            <w:r>
              <w:rPr>
                <w:b/>
                <w:color w:val="FFFFFF"/>
                <w:sz w:val="18"/>
              </w:rPr>
              <w:t>Property Area</w:t>
            </w:r>
          </w:p>
        </w:tc>
        <w:tc>
          <w:tcPr>
            <w:tcW w:type="dxa" w:w="4536"/>
          </w:tcPr>
          <w:p>
            <w:r>
              <w:rPr>
                <w:sz w:val="18"/>
              </w:rPr>
              <w:t>920.0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20 January 2025</w:t>
            </w:r>
          </w:p>
        </w:tc>
      </w:tr>
      <w:tr>
        <w:tc>
          <w:tcPr>
            <w:tcW w:type="dxa" w:w="4536"/>
            <w:shd w:val="clear" w:color="auto" w:fill="1F497D"/>
            <w:vAlign w:val="center"/>
          </w:tcPr>
          <w:p>
            <w:r>
              <w:rPr>
                <w:b/>
                <w:color w:val="FFFFFF"/>
                <w:sz w:val="18"/>
              </w:rPr>
              <w:t>Next Review</w:t>
            </w:r>
          </w:p>
        </w:tc>
        <w:tc>
          <w:tcPr>
            <w:tcW w:type="dxa" w:w="4536"/>
          </w:tcPr>
          <w:p>
            <w:r>
              <w:rPr>
                <w:sz w:val="18"/>
              </w:rPr>
              <w:t>20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Yorke Peninsula Agri Pty Ltd used in horticultural packing and cold-chain export operations for Citrus.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Citrus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Maria Nguyen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(20 January 2025), all areas of Yorke Peninsula Agri Pty Ltd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Maria Nguyen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20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20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