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Grampians Grain Trust</w:t>
            </w:r>
          </w:p>
        </w:tc>
      </w:tr>
      <w:tr>
        <w:tc>
          <w:tcPr>
            <w:tcW w:type="dxa" w:w="3118"/>
            <w:shd w:val="clear" w:color="auto" w:fill="DCE6F1"/>
            <w:vAlign w:val="center"/>
          </w:tcPr>
          <w:p>
            <w:r>
              <w:rPr>
                <w:b/>
                <w:sz w:val="18"/>
              </w:rPr>
              <w:t>RE Number</w:t>
            </w:r>
          </w:p>
        </w:tc>
        <w:tc>
          <w:tcPr>
            <w:tcW w:type="dxa" w:w="6236"/>
            <w:vAlign w:val="center"/>
          </w:tcPr>
          <w:p>
            <w:r>
              <w:rPr>
                <w:sz w:val="18"/>
              </w:rPr>
              <w:t>RE-VIC-2020-0093</w:t>
            </w:r>
          </w:p>
        </w:tc>
      </w:tr>
      <w:tr>
        <w:tc>
          <w:tcPr>
            <w:tcW w:type="dxa" w:w="3118"/>
            <w:shd w:val="clear" w:color="auto" w:fill="DCE6F1"/>
            <w:vAlign w:val="center"/>
          </w:tcPr>
          <w:p>
            <w:r>
              <w:rPr>
                <w:b/>
                <w:sz w:val="18"/>
              </w:rPr>
              <w:t>State / Territory</w:t>
            </w:r>
          </w:p>
        </w:tc>
        <w:tc>
          <w:tcPr>
            <w:tcW w:type="dxa" w:w="6236"/>
            <w:vAlign w:val="center"/>
          </w:tcPr>
          <w:p>
            <w:r>
              <w:rPr>
                <w:sz w:val="18"/>
              </w:rPr>
              <w:t>VIC</w:t>
            </w:r>
          </w:p>
        </w:tc>
      </w:tr>
      <w:tr>
        <w:tc>
          <w:tcPr>
            <w:tcW w:type="dxa" w:w="3118"/>
            <w:shd w:val="clear" w:color="auto" w:fill="DCE6F1"/>
            <w:vAlign w:val="center"/>
          </w:tcPr>
          <w:p>
            <w:r>
              <w:rPr>
                <w:b/>
                <w:sz w:val="18"/>
              </w:rPr>
              <w:t>Property Address</w:t>
            </w:r>
          </w:p>
        </w:tc>
        <w:tc>
          <w:tcPr>
            <w:tcW w:type="dxa" w:w="6236"/>
            <w:vAlign w:val="center"/>
          </w:tcPr>
          <w:p>
            <w:r>
              <w:rPr>
                <w:sz w:val="18"/>
              </w:rPr>
              <w:t>152 Western Highway, Horsham VIC 3400</w:t>
            </w:r>
          </w:p>
        </w:tc>
      </w:tr>
      <w:tr>
        <w:tc>
          <w:tcPr>
            <w:tcW w:type="dxa" w:w="3118"/>
            <w:shd w:val="clear" w:color="auto" w:fill="DCE6F1"/>
            <w:vAlign w:val="center"/>
          </w:tcPr>
          <w:p>
            <w:r>
              <w:rPr>
                <w:b/>
                <w:sz w:val="18"/>
              </w:rPr>
              <w:t>Registered Commodity</w:t>
            </w:r>
          </w:p>
        </w:tc>
        <w:tc>
          <w:tcPr>
            <w:tcW w:type="dxa" w:w="6236"/>
            <w:vAlign w:val="center"/>
          </w:tcPr>
          <w:p>
            <w:r>
              <w:rPr>
                <w:sz w:val="18"/>
              </w:rPr>
              <w:t>Canola</w:t>
            </w:r>
          </w:p>
        </w:tc>
      </w:tr>
      <w:tr>
        <w:tc>
          <w:tcPr>
            <w:tcW w:type="dxa" w:w="3118"/>
            <w:shd w:val="clear" w:color="auto" w:fill="DCE6F1"/>
            <w:vAlign w:val="center"/>
          </w:tcPr>
          <w:p>
            <w:r>
              <w:rPr>
                <w:b/>
                <w:sz w:val="18"/>
              </w:rPr>
              <w:t>Responsible Officer</w:t>
            </w:r>
          </w:p>
        </w:tc>
        <w:tc>
          <w:tcPr>
            <w:tcW w:type="dxa" w:w="6236"/>
            <w:vAlign w:val="center"/>
          </w:tcPr>
          <w:p>
            <w:r>
              <w:rPr>
                <w:sz w:val="18"/>
              </w:rPr>
              <w:t>Brett Sanderson</w:t>
            </w:r>
          </w:p>
        </w:tc>
      </w:tr>
      <w:tr>
        <w:tc>
          <w:tcPr>
            <w:tcW w:type="dxa" w:w="3118"/>
            <w:shd w:val="clear" w:color="auto" w:fill="DCE6F1"/>
            <w:vAlign w:val="center"/>
          </w:tcPr>
          <w:p>
            <w:r>
              <w:rPr>
                <w:b/>
                <w:sz w:val="18"/>
              </w:rPr>
              <w:t>Property Area</w:t>
            </w:r>
          </w:p>
        </w:tc>
        <w:tc>
          <w:tcPr>
            <w:tcW w:type="dxa" w:w="6236"/>
            <w:vAlign w:val="center"/>
          </w:tcPr>
          <w:p>
            <w:r>
              <w:rPr>
                <w:sz w:val="18"/>
              </w:rPr>
              <w:t>320.0 ha</w:t>
            </w:r>
          </w:p>
        </w:tc>
      </w:tr>
      <w:tr>
        <w:tc>
          <w:tcPr>
            <w:tcW w:type="dxa" w:w="3118"/>
            <w:shd w:val="clear" w:color="auto" w:fill="DCE6F1"/>
            <w:vAlign w:val="center"/>
          </w:tcPr>
          <w:p>
            <w:r>
              <w:rPr>
                <w:b/>
                <w:sz w:val="18"/>
              </w:rPr>
              <w:t>Year Established</w:t>
            </w:r>
          </w:p>
        </w:tc>
        <w:tc>
          <w:tcPr>
            <w:tcW w:type="dxa" w:w="6236"/>
            <w:vAlign w:val="center"/>
          </w:tcPr>
          <w:p>
            <w:r>
              <w:rPr>
                <w:sz w:val="18"/>
              </w:rPr>
              <w:t>2020</w:t>
            </w:r>
          </w:p>
        </w:tc>
      </w:tr>
      <w:tr>
        <w:tc>
          <w:tcPr>
            <w:tcW w:type="dxa" w:w="3118"/>
            <w:shd w:val="clear" w:color="auto" w:fill="DCE6F1"/>
            <w:vAlign w:val="center"/>
          </w:tcPr>
          <w:p>
            <w:r>
              <w:rPr>
                <w:b/>
                <w:sz w:val="18"/>
              </w:rPr>
              <w:t>Document Version</w:t>
            </w:r>
          </w:p>
        </w:tc>
        <w:tc>
          <w:tcPr>
            <w:tcW w:type="dxa" w:w="6236"/>
            <w:vAlign w:val="center"/>
          </w:tcPr>
          <w:p>
            <w:r>
              <w:rPr>
                <w:sz w:val="18"/>
              </w:rPr>
              <w:t>2.3</w:t>
            </w:r>
          </w:p>
        </w:tc>
      </w:tr>
      <w:tr>
        <w:tc>
          <w:tcPr>
            <w:tcW w:type="dxa" w:w="3118"/>
            <w:shd w:val="clear" w:color="auto" w:fill="DCE6F1"/>
            <w:vAlign w:val="center"/>
          </w:tcPr>
          <w:p>
            <w:r>
              <w:rPr>
                <w:b/>
                <w:sz w:val="18"/>
              </w:rPr>
              <w:t>Plan Date</w:t>
            </w:r>
          </w:p>
        </w:tc>
        <w:tc>
          <w:tcPr>
            <w:tcW w:type="dxa" w:w="6236"/>
            <w:vAlign w:val="center"/>
          </w:tcPr>
          <w:p>
            <w:r>
              <w:rPr>
                <w:sz w:val="18"/>
              </w:rPr>
              <w:t>10 January 2024</w:t>
            </w:r>
          </w:p>
        </w:tc>
      </w:tr>
      <w:tr>
        <w:tc>
          <w:tcPr>
            <w:tcW w:type="dxa" w:w="3118"/>
            <w:shd w:val="clear" w:color="auto" w:fill="DCE6F1"/>
            <w:vAlign w:val="center"/>
          </w:tcPr>
          <w:p>
            <w:r>
              <w:rPr>
                <w:b/>
                <w:sz w:val="18"/>
              </w:rPr>
              <w:t>Next Review</w:t>
            </w:r>
          </w:p>
        </w:tc>
        <w:tc>
          <w:tcPr>
            <w:tcW w:type="dxa" w:w="6236"/>
            <w:vAlign w:val="center"/>
          </w:tcPr>
          <w:p>
            <w:r>
              <w:rPr>
                <w:sz w:val="18"/>
              </w:rPr>
              <w:t>10 January 2026</w:t>
            </w:r>
          </w:p>
        </w:tc>
      </w:tr>
    </w:tbl>
    <w:p/>
    <w:p>
      <w:pPr>
        <w:pStyle w:val="Heading1"/>
      </w:pPr>
      <w:r>
        <w:rPr>
          <w:color w:val="1F497D"/>
        </w:rPr>
        <w:t>1.  OVERVIEW</w:t>
      </w:r>
    </w:p>
    <w:p>
      <w:r>
        <w:rPr>
          <w:b w:val="0"/>
          <w:i w:val="0"/>
          <w:sz w:val="20"/>
        </w:rPr>
        <w:t>Grampians Grain Trust is a registered export establishment located at 152 Western Highway, Horsham VIC 3400, VIC. The establishment holds RE Number RE-VIC-2020-0093 and is registered to handle and export Canola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WB</w:t>
            </w:r>
          </w:p>
        </w:tc>
        <w:tc>
          <w:tcPr>
            <w:tcW w:type="dxa" w:w="3118"/>
            <w:shd w:val="clear" w:color="auto" w:fill="FFFFFF"/>
            <w:vAlign w:val="center"/>
          </w:tcPr>
          <w:p>
            <w:r>
              <w:rPr>
                <w:sz w:val="18"/>
              </w:rPr>
              <w:t>Weighbridge + Control Room</w:t>
            </w:r>
          </w:p>
        </w:tc>
        <w:tc>
          <w:tcPr>
            <w:tcW w:type="dxa" w:w="1587"/>
            <w:shd w:val="clear" w:color="auto" w:fill="FFFFFF"/>
            <w:vAlign w:val="center"/>
          </w:tcPr>
          <w:p>
            <w:r>
              <w:rPr>
                <w:sz w:val="18"/>
              </w:rPr>
              <w:t>12×6 m</w:t>
            </w:r>
          </w:p>
        </w:tc>
        <w:tc>
          <w:tcPr>
            <w:tcW w:type="dxa" w:w="1984"/>
            <w:shd w:val="clear" w:color="auto" w:fill="FFFFFF"/>
            <w:vAlign w:val="center"/>
          </w:tcPr>
          <w:p>
            <w:r>
              <w:rPr>
                <w:sz w:val="18"/>
              </w:rPr>
              <w:t>Steel portal, concrete pit</w:t>
            </w:r>
          </w:p>
        </w:tc>
        <w:tc>
          <w:tcPr>
            <w:tcW w:type="dxa" w:w="2381"/>
            <w:shd w:val="clear" w:color="auto" w:fill="FFFFFF"/>
            <w:vAlign w:val="center"/>
          </w:tcPr>
          <w:p>
            <w:r>
              <w:rPr>
                <w:sz w:val="18"/>
              </w:rPr>
              <w:t>North entry — road access</w:t>
            </w:r>
          </w:p>
        </w:tc>
      </w:tr>
      <w:tr>
        <w:tc>
          <w:tcPr>
            <w:tcW w:type="dxa" w:w="850"/>
            <w:shd w:val="clear" w:color="auto" w:fill="F2F2F2"/>
            <w:vAlign w:val="center"/>
          </w:tcPr>
          <w:p>
            <w:r>
              <w:rPr>
                <w:sz w:val="18"/>
              </w:rPr>
              <w:t>RB</w:t>
            </w:r>
          </w:p>
        </w:tc>
        <w:tc>
          <w:tcPr>
            <w:tcW w:type="dxa" w:w="3118"/>
            <w:shd w:val="clear" w:color="auto" w:fill="F2F2F2"/>
            <w:vAlign w:val="center"/>
          </w:tcPr>
          <w:p>
            <w:r>
              <w:rPr>
                <w:sz w:val="18"/>
              </w:rPr>
              <w:t>Receival Building</w:t>
            </w:r>
          </w:p>
        </w:tc>
        <w:tc>
          <w:tcPr>
            <w:tcW w:type="dxa" w:w="1587"/>
            <w:shd w:val="clear" w:color="auto" w:fill="F2F2F2"/>
            <w:vAlign w:val="center"/>
          </w:tcPr>
          <w:p>
            <w:r>
              <w:rPr>
                <w:sz w:val="18"/>
              </w:rPr>
              <w:t>22×18 m</w:t>
            </w:r>
          </w:p>
        </w:tc>
        <w:tc>
          <w:tcPr>
            <w:tcW w:type="dxa" w:w="1984"/>
            <w:shd w:val="clear" w:color="auto" w:fill="F2F2F2"/>
            <w:vAlign w:val="center"/>
          </w:tcPr>
          <w:p>
            <w:r>
              <w:rPr>
                <w:sz w:val="18"/>
              </w:rPr>
              <w:t>Steel portal, smooth concrete floor</w:t>
            </w:r>
          </w:p>
        </w:tc>
        <w:tc>
          <w:tcPr>
            <w:tcW w:type="dxa" w:w="2381"/>
            <w:shd w:val="clear" w:color="auto" w:fill="F2F2F2"/>
            <w:vAlign w:val="center"/>
          </w:tcPr>
          <w:p>
            <w:r>
              <w:rPr>
                <w:sz w:val="18"/>
              </w:rPr>
              <w:t>Centre-north of site</w:t>
            </w:r>
          </w:p>
        </w:tc>
      </w:tr>
      <w:tr>
        <w:tc>
          <w:tcPr>
            <w:tcW w:type="dxa" w:w="850"/>
            <w:shd w:val="clear" w:color="auto" w:fill="FFFFFF"/>
            <w:vAlign w:val="center"/>
          </w:tcPr>
          <w:p>
            <w:r>
              <w:rPr>
                <w:sz w:val="18"/>
              </w:rPr>
              <w:t>S1–S2</w:t>
            </w:r>
          </w:p>
        </w:tc>
        <w:tc>
          <w:tcPr>
            <w:tcW w:type="dxa" w:w="3118"/>
            <w:shd w:val="clear" w:color="auto" w:fill="FFFFFF"/>
            <w:vAlign w:val="center"/>
          </w:tcPr>
          <w:p>
            <w:r>
              <w:rPr>
                <w:sz w:val="18"/>
              </w:rPr>
              <w:t>Storage Silos ×2 (1,200 t ea)</w:t>
            </w:r>
          </w:p>
        </w:tc>
        <w:tc>
          <w:tcPr>
            <w:tcW w:type="dxa" w:w="1587"/>
            <w:shd w:val="clear" w:color="auto" w:fill="FFFFFF"/>
            <w:vAlign w:val="center"/>
          </w:tcPr>
          <w:p>
            <w:r>
              <w:rPr>
                <w:sz w:val="18"/>
              </w:rPr>
              <w:t>Dia. 10 m</w:t>
            </w:r>
          </w:p>
        </w:tc>
        <w:tc>
          <w:tcPr>
            <w:tcW w:type="dxa" w:w="1984"/>
            <w:shd w:val="clear" w:color="auto" w:fill="FFFFFF"/>
            <w:vAlign w:val="center"/>
          </w:tcPr>
          <w:p>
            <w:r>
              <w:rPr>
                <w:sz w:val="18"/>
              </w:rPr>
              <w:t>Galvanised steel on concrete ring beams</w:t>
            </w:r>
          </w:p>
        </w:tc>
        <w:tc>
          <w:tcPr>
            <w:tcW w:type="dxa" w:w="2381"/>
            <w:shd w:val="clear" w:color="auto" w:fill="FFFFFF"/>
            <w:vAlign w:val="center"/>
          </w:tcPr>
          <w:p>
            <w:r>
              <w:rPr>
                <w:sz w:val="18"/>
              </w:rPr>
              <w:t>Central cluster</w:t>
            </w:r>
          </w:p>
        </w:tc>
      </w:tr>
      <w:tr>
        <w:tc>
          <w:tcPr>
            <w:tcW w:type="dxa" w:w="850"/>
            <w:shd w:val="clear" w:color="auto" w:fill="F2F2F2"/>
            <w:vAlign w:val="center"/>
          </w:tcPr>
          <w:p>
            <w:r>
              <w:rPr>
                <w:sz w:val="18"/>
              </w:rPr>
              <w:t>PL</w:t>
            </w:r>
          </w:p>
        </w:tc>
        <w:tc>
          <w:tcPr>
            <w:tcW w:type="dxa" w:w="3118"/>
            <w:shd w:val="clear" w:color="auto" w:fill="F2F2F2"/>
            <w:vAlign w:val="center"/>
          </w:tcPr>
          <w:p>
            <w:r>
              <w:rPr>
                <w:sz w:val="18"/>
              </w:rPr>
              <w:t>Packing &amp; Load-Out Shed</w:t>
            </w:r>
          </w:p>
        </w:tc>
        <w:tc>
          <w:tcPr>
            <w:tcW w:type="dxa" w:w="1587"/>
            <w:shd w:val="clear" w:color="auto" w:fill="F2F2F2"/>
            <w:vAlign w:val="center"/>
          </w:tcPr>
          <w:p>
            <w:r>
              <w:rPr>
                <w:sz w:val="18"/>
              </w:rPr>
              <w:t>20×18 m</w:t>
            </w:r>
          </w:p>
        </w:tc>
        <w:tc>
          <w:tcPr>
            <w:tcW w:type="dxa" w:w="1984"/>
            <w:shd w:val="clear" w:color="auto" w:fill="F2F2F2"/>
            <w:vAlign w:val="center"/>
          </w:tcPr>
          <w:p>
            <w:r>
              <w:rPr>
                <w:sz w:val="18"/>
              </w:rPr>
              <w:t>Tilt-up concrete panels</w:t>
            </w:r>
          </w:p>
        </w:tc>
        <w:tc>
          <w:tcPr>
            <w:tcW w:type="dxa" w:w="2381"/>
            <w:shd w:val="clear" w:color="auto" w:fill="F2F2F2"/>
            <w:vAlign w:val="center"/>
          </w:tcPr>
          <w:p>
            <w:r>
              <w:rPr>
                <w:sz w:val="18"/>
              </w:rPr>
              <w:t>South end of site</w:t>
            </w:r>
          </w:p>
        </w:tc>
      </w:tr>
      <w:tr>
        <w:tc>
          <w:tcPr>
            <w:tcW w:type="dxa" w:w="850"/>
            <w:shd w:val="clear" w:color="auto" w:fill="FFFFFF"/>
            <w:vAlign w:val="center"/>
          </w:tcPr>
          <w:p>
            <w:r>
              <w:rPr>
                <w:sz w:val="18"/>
              </w:rPr>
              <w:t>AM</w:t>
            </w:r>
          </w:p>
        </w:tc>
        <w:tc>
          <w:tcPr>
            <w:tcW w:type="dxa" w:w="3118"/>
            <w:shd w:val="clear" w:color="auto" w:fill="FFFFFF"/>
            <w:vAlign w:val="center"/>
          </w:tcPr>
          <w:p>
            <w:r>
              <w:rPr>
                <w:sz w:val="18"/>
              </w:rPr>
              <w:t>Amenities Block</w:t>
            </w:r>
          </w:p>
        </w:tc>
        <w:tc>
          <w:tcPr>
            <w:tcW w:type="dxa" w:w="1587"/>
            <w:shd w:val="clear" w:color="auto" w:fill="FFFFFF"/>
            <w:vAlign w:val="center"/>
          </w:tcPr>
          <w:p>
            <w:r>
              <w:rPr>
                <w:sz w:val="18"/>
              </w:rPr>
              <w:t>8×5 m</w:t>
            </w:r>
          </w:p>
        </w:tc>
        <w:tc>
          <w:tcPr>
            <w:tcW w:type="dxa" w:w="1984"/>
            <w:shd w:val="clear" w:color="auto" w:fill="FFFFFF"/>
            <w:vAlign w:val="center"/>
          </w:tcPr>
          <w:p>
            <w:r>
              <w:rPr>
                <w:sz w:val="18"/>
              </w:rPr>
              <w:t>Brick, self-contained</w:t>
            </w:r>
          </w:p>
        </w:tc>
        <w:tc>
          <w:tcPr>
            <w:tcW w:type="dxa" w:w="2381"/>
            <w:shd w:val="clear" w:color="auto" w:fill="FFFFFF"/>
            <w:vAlign w:val="center"/>
          </w:tcPr>
          <w:p>
            <w:r>
              <w:rPr>
                <w:sz w:val="18"/>
              </w:rPr>
              <w:t>Adjacent to RB</w:t>
            </w:r>
          </w:p>
        </w:tc>
      </w:tr>
      <w:tr>
        <w:tc>
          <w:tcPr>
            <w:tcW w:type="dxa" w:w="850"/>
            <w:shd w:val="clear" w:color="auto" w:fill="F2F2F2"/>
            <w:vAlign w:val="center"/>
          </w:tcPr>
          <w:p>
            <w:r>
              <w:rPr>
                <w:sz w:val="18"/>
              </w:rPr>
              <w:t>CS</w:t>
            </w:r>
          </w:p>
        </w:tc>
        <w:tc>
          <w:tcPr>
            <w:tcW w:type="dxa" w:w="3118"/>
            <w:shd w:val="clear" w:color="auto" w:fill="F2F2F2"/>
            <w:vAlign w:val="center"/>
          </w:tcPr>
          <w:p>
            <w:r>
              <w:rPr>
                <w:sz w:val="18"/>
              </w:rPr>
              <w:t>Chemical &amp; Lubricant Store</w:t>
            </w:r>
          </w:p>
        </w:tc>
        <w:tc>
          <w:tcPr>
            <w:tcW w:type="dxa" w:w="1587"/>
            <w:shd w:val="clear" w:color="auto" w:fill="F2F2F2"/>
            <w:vAlign w:val="center"/>
          </w:tcPr>
          <w:p>
            <w:r>
              <w:rPr>
                <w:sz w:val="18"/>
              </w:rPr>
              <w:t>6×4 m</w:t>
            </w:r>
          </w:p>
        </w:tc>
        <w:tc>
          <w:tcPr>
            <w:tcW w:type="dxa" w:w="1984"/>
            <w:shd w:val="clear" w:color="auto" w:fill="F2F2F2"/>
            <w:vAlign w:val="center"/>
          </w:tcPr>
          <w:p>
            <w:r>
              <w:rPr>
                <w:sz w:val="18"/>
              </w:rPr>
              <w:t>Steel, bunded slab</w:t>
            </w:r>
          </w:p>
        </w:tc>
        <w:tc>
          <w:tcPr>
            <w:tcW w:type="dxa" w:w="2381"/>
            <w:shd w:val="clear" w:color="auto" w:fill="F2F2F2"/>
            <w:vAlign w:val="center"/>
          </w:tcPr>
          <w:p>
            <w:r>
              <w:rPr>
                <w:sz w:val="18"/>
              </w:rPr>
              <w:t>15 m from PL</w:t>
            </w:r>
          </w:p>
        </w:tc>
      </w:tr>
      <w:tr>
        <w:tc>
          <w:tcPr>
            <w:tcW w:type="dxa" w:w="850"/>
            <w:shd w:val="clear" w:color="auto" w:fill="FFFFFF"/>
            <w:vAlign w:val="center"/>
          </w:tcPr>
          <w:p>
            <w:r>
              <w:rPr>
                <w:sz w:val="18"/>
              </w:rPr>
              <w:t>IB</w:t>
            </w:r>
          </w:p>
        </w:tc>
        <w:tc>
          <w:tcPr>
            <w:tcW w:type="dxa" w:w="3118"/>
            <w:shd w:val="clear" w:color="auto" w:fill="FFFFFF"/>
            <w:vAlign w:val="center"/>
          </w:tcPr>
          <w:p>
            <w:r>
              <w:rPr>
                <w:sz w:val="18"/>
              </w:rPr>
              <w:t>DAFF Inspection Room</w:t>
            </w:r>
          </w:p>
        </w:tc>
        <w:tc>
          <w:tcPr>
            <w:tcW w:type="dxa" w:w="1587"/>
            <w:shd w:val="clear" w:color="auto" w:fill="FFFFFF"/>
            <w:vAlign w:val="center"/>
          </w:tcPr>
          <w:p>
            <w:r>
              <w:rPr>
                <w:sz w:val="18"/>
              </w:rPr>
              <w:t>6×5 m</w:t>
            </w:r>
          </w:p>
        </w:tc>
        <w:tc>
          <w:tcPr>
            <w:tcW w:type="dxa" w:w="1984"/>
            <w:shd w:val="clear" w:color="auto" w:fill="FFFFFF"/>
            <w:vAlign w:val="center"/>
          </w:tcPr>
          <w:p>
            <w:r>
              <w:rPr>
                <w:sz w:val="18"/>
              </w:rPr>
              <w:t>Enclosed steel room</w:t>
            </w:r>
          </w:p>
        </w:tc>
        <w:tc>
          <w:tcPr>
            <w:tcW w:type="dxa" w:w="2381"/>
            <w:shd w:val="clear" w:color="auto" w:fill="FFFFFF"/>
            <w:vAlign w:val="center"/>
          </w:tcPr>
          <w:p>
            <w:r>
              <w:rPr>
                <w:sz w:val="18"/>
              </w:rPr>
              <w:t>Between RB and PL</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Grain augers</w:t>
            </w:r>
          </w:p>
        </w:tc>
        <w:tc>
          <w:tcPr>
            <w:tcW w:type="dxa" w:w="1984"/>
            <w:shd w:val="clear" w:color="auto" w:fill="FFFFFF"/>
            <w:vAlign w:val="center"/>
          </w:tcPr>
          <w:p>
            <w:r>
              <w:rPr>
                <w:sz w:val="18"/>
              </w:rPr>
              <w:t>×4</w:t>
            </w:r>
          </w:p>
        </w:tc>
        <w:tc>
          <w:tcPr>
            <w:tcW w:type="dxa" w:w="4252"/>
            <w:shd w:val="clear" w:color="auto" w:fill="FFFFFF"/>
            <w:vAlign w:val="center"/>
          </w:tcPr>
          <w:p>
            <w:r>
              <w:rPr>
                <w:sz w:val="18"/>
              </w:rPr>
              <w:t>Transfer and load-out</w:t>
            </w:r>
          </w:p>
        </w:tc>
      </w:tr>
      <w:tr>
        <w:tc>
          <w:tcPr>
            <w:tcW w:type="dxa" w:w="3685"/>
            <w:shd w:val="clear" w:color="auto" w:fill="F2F2F2"/>
            <w:vAlign w:val="center"/>
          </w:tcPr>
          <w:p>
            <w:r>
              <w:rPr>
                <w:sz w:val="18"/>
              </w:rPr>
              <w:t>Belt conveyors (sealed)</w:t>
            </w:r>
          </w:p>
        </w:tc>
        <w:tc>
          <w:tcPr>
            <w:tcW w:type="dxa" w:w="1984"/>
            <w:shd w:val="clear" w:color="auto" w:fill="F2F2F2"/>
            <w:vAlign w:val="center"/>
          </w:tcPr>
          <w:p>
            <w:r>
              <w:rPr>
                <w:sz w:val="18"/>
              </w:rPr>
              <w:t>×2</w:t>
            </w:r>
          </w:p>
        </w:tc>
        <w:tc>
          <w:tcPr>
            <w:tcW w:type="dxa" w:w="4252"/>
            <w:shd w:val="clear" w:color="auto" w:fill="F2F2F2"/>
            <w:vAlign w:val="center"/>
          </w:tcPr>
          <w:p>
            <w:r>
              <w:rPr>
                <w:sz w:val="18"/>
              </w:rPr>
              <w:t>Receival to storage</w:t>
            </w:r>
          </w:p>
        </w:tc>
      </w:tr>
      <w:tr>
        <w:tc>
          <w:tcPr>
            <w:tcW w:type="dxa" w:w="3685"/>
            <w:shd w:val="clear" w:color="auto" w:fill="FFFFFF"/>
            <w:vAlign w:val="center"/>
          </w:tcPr>
          <w:p>
            <w:r>
              <w:rPr>
                <w:sz w:val="18"/>
              </w:rPr>
              <w:t>Continuous-flow dryer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Moisture conditioning</w:t>
            </w:r>
          </w:p>
        </w:tc>
      </w:tr>
      <w:tr>
        <w:tc>
          <w:tcPr>
            <w:tcW w:type="dxa" w:w="3685"/>
            <w:shd w:val="clear" w:color="auto" w:fill="F2F2F2"/>
            <w:vAlign w:val="center"/>
          </w:tcPr>
          <w:p>
            <w:r>
              <w:rPr>
                <w:sz w:val="18"/>
              </w:rPr>
              <w:t>Weighbridge system</w:t>
            </w:r>
          </w:p>
        </w:tc>
        <w:tc>
          <w:tcPr>
            <w:tcW w:type="dxa" w:w="1984"/>
            <w:shd w:val="clear" w:color="auto" w:fill="F2F2F2"/>
            <w:vAlign w:val="center"/>
          </w:tcPr>
          <w:p>
            <w:r>
              <w:rPr>
                <w:sz w:val="18"/>
              </w:rPr>
              <w:t>80 t rated</w:t>
            </w:r>
          </w:p>
        </w:tc>
        <w:tc>
          <w:tcPr>
            <w:tcW w:type="dxa" w:w="4252"/>
            <w:shd w:val="clear" w:color="auto" w:fill="F2F2F2"/>
            <w:vAlign w:val="center"/>
          </w:tcPr>
          <w:p>
            <w:r>
              <w:rPr>
                <w:sz w:val="18"/>
              </w:rPr>
              <w:t>Inbound/outbound verification</w:t>
            </w:r>
          </w:p>
        </w:tc>
      </w:tr>
      <w:tr>
        <w:tc>
          <w:tcPr>
            <w:tcW w:type="dxa" w:w="3685"/>
            <w:shd w:val="clear" w:color="auto" w:fill="FFFFFF"/>
            <w:vAlign w:val="center"/>
          </w:tcPr>
          <w:p>
            <w:r>
              <w:rPr>
                <w:sz w:val="18"/>
              </w:rPr>
              <w:t>Grain quality analyser (NIR)</w:t>
            </w:r>
          </w:p>
        </w:tc>
        <w:tc>
          <w:tcPr>
            <w:tcW w:type="dxa" w:w="1984"/>
            <w:shd w:val="clear" w:color="auto" w:fill="FFFFFF"/>
            <w:vAlign w:val="center"/>
          </w:tcPr>
          <w:p>
            <w:r>
              <w:rPr>
                <w:sz w:val="18"/>
              </w:rPr>
              <w:t>In-line</w:t>
            </w:r>
          </w:p>
        </w:tc>
        <w:tc>
          <w:tcPr>
            <w:tcW w:type="dxa" w:w="4252"/>
            <w:shd w:val="clear" w:color="auto" w:fill="FFFFFF"/>
            <w:vAlign w:val="center"/>
          </w:tcPr>
          <w:p>
            <w:r>
              <w:rPr>
                <w:sz w:val="18"/>
              </w:rPr>
              <w:t>Protein, moisture, oil testing</w:t>
            </w:r>
          </w:p>
        </w:tc>
      </w:tr>
      <w:tr>
        <w:tc>
          <w:tcPr>
            <w:tcW w:type="dxa" w:w="3685"/>
            <w:shd w:val="clear" w:color="auto" w:fill="F2F2F2"/>
            <w:vAlign w:val="center"/>
          </w:tcPr>
          <w:p>
            <w:r>
              <w:rPr>
                <w:sz w:val="18"/>
              </w:rPr>
              <w:t>Rotary screen cleaner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Pre-storage cleaning</w:t>
            </w:r>
          </w:p>
        </w:tc>
      </w:tr>
      <w:tr>
        <w:tc>
          <w:tcPr>
            <w:tcW w:type="dxa" w:w="3685"/>
            <w:shd w:val="clear" w:color="auto" w:fill="FFFFFF"/>
            <w:vAlign w:val="center"/>
          </w:tcPr>
          <w:p>
            <w:r>
              <w:rPr>
                <w:sz w:val="18"/>
              </w:rPr>
              <w:t>In-line belt sampler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Representative lot sampling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Canola.</w:t>
      </w:r>
    </w:p>
    <w:p>
      <w:pPr>
        <w:pStyle w:val="Heading2"/>
      </w:pPr>
      <w:r>
        <w:t>4.2  Lighting (C2)</w:t>
      </w:r>
    </w:p>
    <w:p>
      <w:r>
        <w:rPr>
          <w:b w:val="0"/>
          <w:i w:val="0"/>
          <w:sz w:val="20"/>
        </w:rPr>
        <w:t>High-efficiency LED battens throughout: 470 lux packing hall, 360 lux cool store entry, 342 lux dispatch bay. Sensor-activated step-lighting along conveyor access walkways. All fittings shatterproof-sleeved, IP54 rated minimum.</w:t>
      </w:r>
    </w:p>
    <w:p>
      <w:pPr>
        <w:pStyle w:val="Heading2"/>
      </w:pPr>
      <w:r>
        <w:t>4.3  Handwashing and Toilet Facilities (C3)</w:t>
      </w:r>
    </w:p>
    <w:p>
      <w:r>
        <w:rPr>
          <w:b w:val="0"/>
          <w:i w:val="0"/>
          <w:sz w:val="20"/>
        </w:rPr>
        <w:t>Purpose-built amenities: 1 toilet, 2 hand basins — insulated hot-water system, soap and single-use paper towels. Amenities connected to main processing building via covered walkway. In-line handwash basin at processing floor entry point.</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Purpose-built construction with cleanability designed in: coved epoxy floors, smooth coated-steel wall panels, no horizontal ledges on equipment or structure, all joints sealed with food-grade silicone, recessed floor drain channels with removable SS covers. Annual deep-clean by specialist contractor supplements weekly programme.</w:t>
      </w:r>
    </w:p>
    <w:p>
      <w:pPr>
        <w:pStyle w:val="Heading2"/>
      </w:pPr>
      <w:r>
        <w:t>5.2  Contamination and Pest Harbourage Minimisation (C5)</w:t>
      </w:r>
    </w:p>
    <w:p>
      <w:r>
        <w:rPr>
          <w:b w:val="0"/>
          <w:i w:val="0"/>
          <w:sz w:val="20"/>
        </w:rPr>
        <w:t>Building envelope sealed to export standard: galvanised mesh (6 mm) on all openings; door brush seals replaced every 2 years; expansion joints filled with flexible polyurethane; no open eaves — soffit board sealed to top of wall cladding; all roof penetrations (vents, conduits) flashed and sealed. No horizontal structural members without drainage slope.</w:t>
      </w:r>
    </w:p>
    <w:p>
      <w:pPr>
        <w:pStyle w:val="Heading2"/>
      </w:pPr>
      <w:r>
        <w:t>5.3  Waste Disposal Design (C6)</w:t>
      </w:r>
    </w:p>
    <w:p>
      <w:r>
        <w:rPr>
          <w:b w:val="0"/>
          <w:i w:val="0"/>
          <w:sz w:val="20"/>
        </w:rPr>
        <w:t>Waste disposal: bunded concrete waste pad (4×6 m, 150 mm kerb on 3 sides) adjacent to building for solid waste collection in sealed lidded bins; liquid waste to licensed grease-trap and sewer connection; dust collection by wet scrubber — effluent to contained holding pond; all chemical waste in labelled containers in chemical store for licensed disposal. Records maintained.</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Waste Management SOP (WM-SOP-103, version 2.3, current): specifies waste stream segregation, bin placement, collection frequencies and disposal methods. Reviewed bi-annually. Non-conformances logged in the corrective action register. Accessible to all staff on site intranet.</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Grain spillage</w:t>
            </w:r>
          </w:p>
        </w:tc>
        <w:tc>
          <w:tcPr>
            <w:tcW w:type="dxa" w:w="4252"/>
            <w:shd w:val="clear" w:color="auto" w:fill="FFFFFF"/>
            <w:vAlign w:val="center"/>
          </w:tcPr>
          <w:p>
            <w:r>
              <w:rPr>
                <w:sz w:val="18"/>
              </w:rPr>
              <w:t>Sealed collection bins under auger/conveyor discharge</w:t>
            </w:r>
          </w:p>
        </w:tc>
        <w:tc>
          <w:tcPr>
            <w:tcW w:type="dxa" w:w="2835"/>
            <w:shd w:val="clear" w:color="auto" w:fill="FFFFFF"/>
            <w:vAlign w:val="center"/>
          </w:tcPr>
          <w:p>
            <w:r>
              <w:rPr>
                <w:sz w:val="18"/>
              </w:rPr>
              <w:t>Daily removal</w:t>
            </w:r>
          </w:p>
        </w:tc>
      </w:tr>
      <w:tr>
        <w:tc>
          <w:tcPr>
            <w:tcW w:type="dxa" w:w="2835"/>
            <w:shd w:val="clear" w:color="auto" w:fill="F2F2F2"/>
            <w:vAlign w:val="center"/>
          </w:tcPr>
          <w:p>
            <w:r>
              <w:rPr>
                <w:sz w:val="18"/>
              </w:rPr>
              <w:t>Grain dust</w:t>
            </w:r>
          </w:p>
        </w:tc>
        <w:tc>
          <w:tcPr>
            <w:tcW w:type="dxa" w:w="4252"/>
            <w:shd w:val="clear" w:color="auto" w:fill="F2F2F2"/>
            <w:vAlign w:val="center"/>
          </w:tcPr>
          <w:p>
            <w:r>
              <w:rPr>
                <w:sz w:val="18"/>
              </w:rPr>
              <w:t>Cyclone separator → sealed collection bags</w:t>
            </w:r>
          </w:p>
        </w:tc>
        <w:tc>
          <w:tcPr>
            <w:tcW w:type="dxa" w:w="2835"/>
            <w:shd w:val="clear" w:color="auto" w:fill="F2F2F2"/>
            <w:vAlign w:val="center"/>
          </w:tcPr>
          <w:p>
            <w:r>
              <w:rPr>
                <w:sz w:val="18"/>
              </w:rPr>
              <w:t>Fortnightly bag disposal</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Floor drains → bunded sump</w:t>
            </w:r>
          </w:p>
        </w:tc>
        <w:tc>
          <w:tcPr>
            <w:tcW w:type="dxa" w:w="2835"/>
            <w:shd w:val="clear" w:color="auto" w:fill="FFFFFF"/>
            <w:vAlign w:val="center"/>
          </w:tcPr>
          <w:p>
            <w:r>
              <w:rPr>
                <w:sz w:val="18"/>
              </w:rPr>
              <w:t>Weekly pump-out</w:t>
            </w:r>
          </w:p>
        </w:tc>
      </w:tr>
      <w:tr>
        <w:tc>
          <w:tcPr>
            <w:tcW w:type="dxa" w:w="2835"/>
            <w:shd w:val="clear" w:color="auto" w:fill="F2F2F2"/>
            <w:vAlign w:val="center"/>
          </w:tcPr>
          <w:p>
            <w:r>
              <w:rPr>
                <w:sz w:val="18"/>
              </w:rPr>
              <w:t>Packaging waste</w:t>
            </w:r>
          </w:p>
        </w:tc>
        <w:tc>
          <w:tcPr>
            <w:tcW w:type="dxa" w:w="4252"/>
            <w:shd w:val="clear" w:color="auto" w:fill="F2F2F2"/>
            <w:vAlign w:val="center"/>
          </w:tcPr>
          <w:p>
            <w:r>
              <w:rPr>
                <w:sz w:val="18"/>
              </w:rPr>
              <w:t>Compressor baler in waste bay</w:t>
            </w:r>
          </w:p>
        </w:tc>
        <w:tc>
          <w:tcPr>
            <w:tcW w:type="dxa" w:w="2835"/>
            <w:shd w:val="clear" w:color="auto" w:fill="F2F2F2"/>
            <w:vAlign w:val="center"/>
          </w:tcPr>
          <w:p>
            <w:r>
              <w:rPr>
                <w:sz w:val="18"/>
              </w:rPr>
              <w:t>Monthly contractor collection</w:t>
            </w:r>
          </w:p>
        </w:tc>
      </w:tr>
      <w:tr>
        <w:tc>
          <w:tcPr>
            <w:tcW w:type="dxa" w:w="2835"/>
            <w:shd w:val="clear" w:color="auto" w:fill="FFFFFF"/>
            <w:vAlign w:val="center"/>
          </w:tcPr>
          <w:p>
            <w:r>
              <w:rPr>
                <w:sz w:val="18"/>
              </w:rPr>
              <w:t>Chemical containers</w:t>
            </w:r>
          </w:p>
        </w:tc>
        <w:tc>
          <w:tcPr>
            <w:tcW w:type="dxa" w:w="4252"/>
            <w:shd w:val="clear" w:color="auto" w:fill="FFFFFF"/>
            <w:vAlign w:val="center"/>
          </w:tcPr>
          <w:p>
            <w:r>
              <w:rPr>
                <w:sz w:val="18"/>
              </w:rPr>
              <w:t>Labelled, sealed store</w:t>
            </w:r>
          </w:p>
        </w:tc>
        <w:tc>
          <w:tcPr>
            <w:tcW w:type="dxa" w:w="2835"/>
            <w:shd w:val="clear" w:color="auto" w:fill="FFFFFF"/>
            <w:vAlign w:val="center"/>
          </w:tcPr>
          <w:p>
            <w:r>
              <w:rPr>
                <w:sz w:val="18"/>
              </w:rPr>
              <w:t>Licensed waste contractor quarterly</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Internal inspection results: floor — no accumulated debris in corners or wall bases; equipment — all conveyor belts, rollers and hoppers clean; overhead structure — free from hanging debris; drains — clear and odour-free; amenities — clean with full consumable stocks. Last full deep-clean: 4 weeks prior to this assessment.</w:t>
      </w:r>
    </w:p>
    <w:p>
      <w:pPr>
        <w:pStyle w:val="Heading2"/>
      </w:pPr>
      <w:r>
        <w:t>7.2  Pest Condition (C9)</w:t>
      </w:r>
    </w:p>
    <w:p>
      <w:r>
        <w:rPr>
          <w:b w:val="0"/>
          <w:i w:val="0"/>
          <w:sz w:val="20"/>
        </w:rPr>
        <w:t>Current pest status: all monitoring indicators within acceptable range. Rodent bait consumption at routine background level. Insect sticky traps show no grain storage pest species. No evidence of bird entry. Bait station register up to date and signed by licensed pest management technician (last service: January 2025).</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Energex/Ergon Energy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 bore licence — 32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Septic system — licensed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Sheet flow to soakage trench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60 kVA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Brett Sanderson</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10 January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