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Mallee Chickpea Growers</w:t>
            </w:r>
          </w:p>
        </w:tc>
      </w:tr>
      <w:tr>
        <w:tc>
          <w:tcPr>
            <w:tcW w:type="dxa" w:w="3118"/>
            <w:shd w:val="clear" w:color="auto" w:fill="DCE6F1"/>
            <w:vAlign w:val="center"/>
          </w:tcPr>
          <w:p>
            <w:r>
              <w:rPr>
                <w:b/>
                <w:sz w:val="18"/>
              </w:rPr>
              <w:t>RE Number</w:t>
            </w:r>
          </w:p>
        </w:tc>
        <w:tc>
          <w:tcPr>
            <w:tcW w:type="dxa" w:w="6236"/>
            <w:vAlign w:val="center"/>
          </w:tcPr>
          <w:p>
            <w:r>
              <w:rPr>
                <w:sz w:val="18"/>
              </w:rPr>
              <w:t>RE-VIC-2020-0181</w:t>
            </w:r>
          </w:p>
        </w:tc>
      </w:tr>
      <w:tr>
        <w:tc>
          <w:tcPr>
            <w:tcW w:type="dxa" w:w="3118"/>
            <w:shd w:val="clear" w:color="auto" w:fill="DCE6F1"/>
            <w:vAlign w:val="center"/>
          </w:tcPr>
          <w:p>
            <w:r>
              <w:rPr>
                <w:b/>
                <w:sz w:val="18"/>
              </w:rPr>
              <w:t>State / Territory</w:t>
            </w:r>
          </w:p>
        </w:tc>
        <w:tc>
          <w:tcPr>
            <w:tcW w:type="dxa" w:w="6236"/>
            <w:vAlign w:val="center"/>
          </w:tcPr>
          <w:p>
            <w:r>
              <w:rPr>
                <w:sz w:val="18"/>
              </w:rPr>
              <w:t>VIC</w:t>
            </w:r>
          </w:p>
        </w:tc>
      </w:tr>
      <w:tr>
        <w:tc>
          <w:tcPr>
            <w:tcW w:type="dxa" w:w="3118"/>
            <w:shd w:val="clear" w:color="auto" w:fill="DCE6F1"/>
            <w:vAlign w:val="center"/>
          </w:tcPr>
          <w:p>
            <w:r>
              <w:rPr>
                <w:b/>
                <w:sz w:val="18"/>
              </w:rPr>
              <w:t>Property Address</w:t>
            </w:r>
          </w:p>
        </w:tc>
        <w:tc>
          <w:tcPr>
            <w:tcW w:type="dxa" w:w="6236"/>
            <w:vAlign w:val="center"/>
          </w:tcPr>
          <w:p>
            <w:r>
              <w:rPr>
                <w:sz w:val="18"/>
              </w:rPr>
              <w:t>39 Murray Valley Highway, Swan Hill VIC 3585</w:t>
            </w:r>
          </w:p>
        </w:tc>
      </w:tr>
      <w:tr>
        <w:tc>
          <w:tcPr>
            <w:tcW w:type="dxa" w:w="3118"/>
            <w:shd w:val="clear" w:color="auto" w:fill="DCE6F1"/>
            <w:vAlign w:val="center"/>
          </w:tcPr>
          <w:p>
            <w:r>
              <w:rPr>
                <w:b/>
                <w:sz w:val="18"/>
              </w:rPr>
              <w:t>Registered Commodity</w:t>
            </w:r>
          </w:p>
        </w:tc>
        <w:tc>
          <w:tcPr>
            <w:tcW w:type="dxa" w:w="6236"/>
            <w:vAlign w:val="center"/>
          </w:tcPr>
          <w:p>
            <w:r>
              <w:rPr>
                <w:sz w:val="18"/>
              </w:rPr>
              <w:t>Barley</w:t>
            </w:r>
          </w:p>
        </w:tc>
      </w:tr>
      <w:tr>
        <w:tc>
          <w:tcPr>
            <w:tcW w:type="dxa" w:w="3118"/>
            <w:shd w:val="clear" w:color="auto" w:fill="DCE6F1"/>
            <w:vAlign w:val="center"/>
          </w:tcPr>
          <w:p>
            <w:r>
              <w:rPr>
                <w:b/>
                <w:sz w:val="18"/>
              </w:rPr>
              <w:t>Responsible Officer</w:t>
            </w:r>
          </w:p>
        </w:tc>
        <w:tc>
          <w:tcPr>
            <w:tcW w:type="dxa" w:w="6236"/>
            <w:vAlign w:val="center"/>
          </w:tcPr>
          <w:p>
            <w:r>
              <w:rPr>
                <w:sz w:val="18"/>
              </w:rPr>
              <w:t>Don Trestrail</w:t>
            </w:r>
          </w:p>
        </w:tc>
      </w:tr>
      <w:tr>
        <w:tc>
          <w:tcPr>
            <w:tcW w:type="dxa" w:w="3118"/>
            <w:shd w:val="clear" w:color="auto" w:fill="DCE6F1"/>
            <w:vAlign w:val="center"/>
          </w:tcPr>
          <w:p>
            <w:r>
              <w:rPr>
                <w:b/>
                <w:sz w:val="18"/>
              </w:rPr>
              <w:t>Property Area</w:t>
            </w:r>
          </w:p>
        </w:tc>
        <w:tc>
          <w:tcPr>
            <w:tcW w:type="dxa" w:w="6236"/>
            <w:vAlign w:val="center"/>
          </w:tcPr>
          <w:p>
            <w:r>
              <w:rPr>
                <w:sz w:val="18"/>
              </w:rPr>
              <w:t>520.0 ha</w:t>
            </w:r>
          </w:p>
        </w:tc>
      </w:tr>
      <w:tr>
        <w:tc>
          <w:tcPr>
            <w:tcW w:type="dxa" w:w="3118"/>
            <w:shd w:val="clear" w:color="auto" w:fill="DCE6F1"/>
            <w:vAlign w:val="center"/>
          </w:tcPr>
          <w:p>
            <w:r>
              <w:rPr>
                <w:b/>
                <w:sz w:val="18"/>
              </w:rPr>
              <w:t>Year Established</w:t>
            </w:r>
          </w:p>
        </w:tc>
        <w:tc>
          <w:tcPr>
            <w:tcW w:type="dxa" w:w="6236"/>
            <w:vAlign w:val="center"/>
          </w:tcPr>
          <w:p>
            <w:r>
              <w:rPr>
                <w:sz w:val="18"/>
              </w:rPr>
              <w:t>2019</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17 April 2024</w:t>
            </w:r>
          </w:p>
        </w:tc>
      </w:tr>
      <w:tr>
        <w:tc>
          <w:tcPr>
            <w:tcW w:type="dxa" w:w="3118"/>
            <w:shd w:val="clear" w:color="auto" w:fill="DCE6F1"/>
            <w:vAlign w:val="center"/>
          </w:tcPr>
          <w:p>
            <w:r>
              <w:rPr>
                <w:b/>
                <w:sz w:val="18"/>
              </w:rPr>
              <w:t>Next Review</w:t>
            </w:r>
          </w:p>
        </w:tc>
        <w:tc>
          <w:tcPr>
            <w:tcW w:type="dxa" w:w="6236"/>
            <w:vAlign w:val="center"/>
          </w:tcPr>
          <w:p>
            <w:r>
              <w:rPr>
                <w:sz w:val="18"/>
              </w:rPr>
              <w:t>17 April 2026</w:t>
            </w:r>
          </w:p>
        </w:tc>
      </w:tr>
    </w:tbl>
    <w:p/>
    <w:p>
      <w:pPr>
        <w:pStyle w:val="Heading1"/>
      </w:pPr>
      <w:r>
        <w:rPr>
          <w:color w:val="1F497D"/>
        </w:rPr>
        <w:t>1.  OVERVIEW</w:t>
      </w:r>
    </w:p>
    <w:p>
      <w:r>
        <w:rPr>
          <w:b w:val="0"/>
          <w:i w:val="0"/>
          <w:sz w:val="20"/>
        </w:rPr>
        <w:t>Mallee Chickpea Growers is a registered export establishment located at 39 Murray Valley Highway, Swan Hill VIC 3585, VIC. The establishment holds RE Number RE-VIC-2020-0181 and is registered to handle and export Barley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22×18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Silos ×4 (1,800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20×18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×4</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×2</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Barley.</w:t>
      </w:r>
    </w:p>
    <w:p>
      <w:pPr>
        <w:pStyle w:val="Heading2"/>
      </w:pPr>
      <w:r>
        <w:t>4.2  Lighting (C2)</w:t>
      </w:r>
    </w:p>
    <w:p>
      <w:r>
        <w:rPr>
          <w:b w:val="0"/>
          <w:i w:val="0"/>
          <w:sz w:val="20"/>
        </w:rPr>
        <w:t>High-efficiency LED battens throughout: 520 lux packing hall, 400 lux cool store entry, 380 lux dispatch bay. Sensor-activated step-lighting along conveyor access walkways. All fittings shatterproof-sleeved, IP54 rated minimum.</w:t>
      </w:r>
    </w:p>
    <w:p>
      <w:pPr>
        <w:pStyle w:val="Heading2"/>
      </w:pPr>
      <w:r>
        <w:t>4.3  Handwashing and Toilet Facilities (C3)</w:t>
      </w:r>
    </w:p>
    <w:p>
      <w:r>
        <w:rPr>
          <w:b w:val="0"/>
          <w:i w:val="0"/>
          <w:sz w:val="20"/>
        </w:rPr>
        <w:t>Purpose-built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The Barley storage utilises an open-front bay design. The bay entrance (6 m wide × 4 m high) is fitted with a chain-link gate for security but provides no insect or bird exclusion. A mesh curtain was installed in 2021 but has sustained damage and does not provide a complete seal. Enclosed processing areas have full pest exclusion measures.</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(WM-SOP-139, version 2.4,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4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January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VIC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AUTHORIVICTION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Don Trestrail</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17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