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Nhill Grain Services</w:t>
            </w:r>
          </w:p>
        </w:tc>
      </w:tr>
      <w:tr>
        <w:tc>
          <w:tcPr>
            <w:tcW w:type="dxa" w:w="3118"/>
            <w:shd w:val="clear" w:color="auto" w:fill="DCE6F1"/>
            <w:vAlign w:val="center"/>
          </w:tcPr>
          <w:p>
            <w:r>
              <w:rPr>
                <w:b/>
                <w:sz w:val="18"/>
              </w:rPr>
              <w:t>RE Number</w:t>
            </w:r>
          </w:p>
        </w:tc>
        <w:tc>
          <w:tcPr>
            <w:tcW w:type="dxa" w:w="6236"/>
            <w:vAlign w:val="center"/>
          </w:tcPr>
          <w:p>
            <w:r>
              <w:rPr>
                <w:sz w:val="18"/>
              </w:rPr>
              <w:t>RE-VIC-2021-0055</w:t>
            </w:r>
          </w:p>
        </w:tc>
      </w:tr>
      <w:tr>
        <w:tc>
          <w:tcPr>
            <w:tcW w:type="dxa" w:w="3118"/>
            <w:shd w:val="clear" w:color="auto" w:fill="DCE6F1"/>
            <w:vAlign w:val="center"/>
          </w:tcPr>
          <w:p>
            <w:r>
              <w:rPr>
                <w:b/>
                <w:sz w:val="18"/>
              </w:rPr>
              <w:t>State / Territory</w:t>
            </w:r>
          </w:p>
        </w:tc>
        <w:tc>
          <w:tcPr>
            <w:tcW w:type="dxa" w:w="6236"/>
            <w:vAlign w:val="center"/>
          </w:tcPr>
          <w:p>
            <w:r>
              <w:rPr>
                <w:sz w:val="18"/>
              </w:rPr>
              <w:t>VIC</w:t>
            </w:r>
          </w:p>
        </w:tc>
      </w:tr>
      <w:tr>
        <w:tc>
          <w:tcPr>
            <w:tcW w:type="dxa" w:w="3118"/>
            <w:shd w:val="clear" w:color="auto" w:fill="DCE6F1"/>
            <w:vAlign w:val="center"/>
          </w:tcPr>
          <w:p>
            <w:r>
              <w:rPr>
                <w:b/>
                <w:sz w:val="18"/>
              </w:rPr>
              <w:t>Property Address</w:t>
            </w:r>
          </w:p>
        </w:tc>
        <w:tc>
          <w:tcPr>
            <w:tcW w:type="dxa" w:w="6236"/>
            <w:vAlign w:val="center"/>
          </w:tcPr>
          <w:p>
            <w:r>
              <w:rPr>
                <w:sz w:val="18"/>
              </w:rPr>
              <w:t>44 Western Highway, Nhill VIC 3418</w:t>
            </w:r>
          </w:p>
        </w:tc>
      </w:tr>
      <w:tr>
        <w:tc>
          <w:tcPr>
            <w:tcW w:type="dxa" w:w="3118"/>
            <w:shd w:val="clear" w:color="auto" w:fill="DCE6F1"/>
            <w:vAlign w:val="center"/>
          </w:tcPr>
          <w:p>
            <w:r>
              <w:rPr>
                <w:b/>
                <w:sz w:val="18"/>
              </w:rPr>
              <w:t>Registered Commodity</w:t>
            </w:r>
          </w:p>
        </w:tc>
        <w:tc>
          <w:tcPr>
            <w:tcW w:type="dxa" w:w="6236"/>
            <w:vAlign w:val="center"/>
          </w:tcPr>
          <w:p>
            <w:r>
              <w:rPr>
                <w:sz w:val="18"/>
              </w:rPr>
              <w:t>Rice</w:t>
            </w:r>
          </w:p>
        </w:tc>
      </w:tr>
      <w:tr>
        <w:tc>
          <w:tcPr>
            <w:tcW w:type="dxa" w:w="3118"/>
            <w:shd w:val="clear" w:color="auto" w:fill="DCE6F1"/>
            <w:vAlign w:val="center"/>
          </w:tcPr>
          <w:p>
            <w:r>
              <w:rPr>
                <w:b/>
                <w:sz w:val="18"/>
              </w:rPr>
              <w:t>Responsible Officer</w:t>
            </w:r>
          </w:p>
        </w:tc>
        <w:tc>
          <w:tcPr>
            <w:tcW w:type="dxa" w:w="6236"/>
            <w:vAlign w:val="center"/>
          </w:tcPr>
          <w:p>
            <w:r>
              <w:rPr>
                <w:sz w:val="18"/>
              </w:rPr>
              <w:t>Alan Russo</w:t>
            </w:r>
          </w:p>
        </w:tc>
      </w:tr>
      <w:tr>
        <w:tc>
          <w:tcPr>
            <w:tcW w:type="dxa" w:w="3118"/>
            <w:shd w:val="clear" w:color="auto" w:fill="DCE6F1"/>
            <w:vAlign w:val="center"/>
          </w:tcPr>
          <w:p>
            <w:r>
              <w:rPr>
                <w:b/>
                <w:sz w:val="18"/>
              </w:rPr>
              <w:t>Property Area</w:t>
            </w:r>
          </w:p>
        </w:tc>
        <w:tc>
          <w:tcPr>
            <w:tcW w:type="dxa" w:w="6236"/>
            <w:vAlign w:val="center"/>
          </w:tcPr>
          <w:p>
            <w:r>
              <w:rPr>
                <w:sz w:val="18"/>
              </w:rPr>
              <w:t>1900.0 ha</w:t>
            </w:r>
          </w:p>
        </w:tc>
      </w:tr>
      <w:tr>
        <w:tc>
          <w:tcPr>
            <w:tcW w:type="dxa" w:w="3118"/>
            <w:shd w:val="clear" w:color="auto" w:fill="DCE6F1"/>
            <w:vAlign w:val="center"/>
          </w:tcPr>
          <w:p>
            <w:r>
              <w:rPr>
                <w:b/>
                <w:sz w:val="18"/>
              </w:rPr>
              <w:t>Year Established</w:t>
            </w:r>
          </w:p>
        </w:tc>
        <w:tc>
          <w:tcPr>
            <w:tcW w:type="dxa" w:w="6236"/>
            <w:vAlign w:val="center"/>
          </w:tcPr>
          <w:p>
            <w:r>
              <w:rPr>
                <w:sz w:val="18"/>
              </w:rPr>
              <w:t>2009</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29 March 2024</w:t>
            </w:r>
          </w:p>
        </w:tc>
      </w:tr>
      <w:tr>
        <w:tc>
          <w:tcPr>
            <w:tcW w:type="dxa" w:w="3118"/>
            <w:shd w:val="clear" w:color="auto" w:fill="DCE6F1"/>
            <w:vAlign w:val="center"/>
          </w:tcPr>
          <w:p>
            <w:r>
              <w:rPr>
                <w:b/>
                <w:sz w:val="18"/>
              </w:rPr>
              <w:t>Next Review</w:t>
            </w:r>
          </w:p>
        </w:tc>
        <w:tc>
          <w:tcPr>
            <w:tcW w:type="dxa" w:w="6236"/>
            <w:vAlign w:val="center"/>
          </w:tcPr>
          <w:p>
            <w:r>
              <w:rPr>
                <w:sz w:val="18"/>
              </w:rPr>
              <w:t>29 March 2026</w:t>
            </w:r>
          </w:p>
        </w:tc>
      </w:tr>
    </w:tbl>
    <w:p/>
    <w:p>
      <w:pPr>
        <w:pStyle w:val="Heading1"/>
      </w:pPr>
      <w:r>
        <w:rPr>
          <w:color w:val="1F497D"/>
        </w:rPr>
        <w:t>1.  OVERVIEW</w:t>
      </w:r>
    </w:p>
    <w:p>
      <w:r>
        <w:rPr>
          <w:b w:val="0"/>
          <w:i w:val="0"/>
          <w:sz w:val="20"/>
        </w:rPr>
        <w:t>Nhill Grain Services is a registered export establishment located at 44 Western Highway, Nhill VIC 3418, VIC. The establishment holds RE Number RE-VIC-2021-0055 and is registered to handle and export Rice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RB</w:t>
            </w:r>
          </w:p>
        </w:tc>
        <w:tc>
          <w:tcPr>
            <w:tcW w:type="dxa" w:w="3118"/>
            <w:shd w:val="clear" w:color="auto" w:fill="FFFFFF"/>
            <w:vAlign w:val="center"/>
          </w:tcPr>
          <w:p>
            <w:r>
              <w:rPr>
                <w:sz w:val="18"/>
              </w:rPr>
              <w:t>Receival &amp; Processing Building</w:t>
            </w:r>
          </w:p>
        </w:tc>
        <w:tc>
          <w:tcPr>
            <w:tcW w:type="dxa" w:w="1587"/>
            <w:shd w:val="clear" w:color="auto" w:fill="FFFFFF"/>
            <w:vAlign w:val="center"/>
          </w:tcPr>
          <w:p>
            <w:r>
              <w:rPr>
                <w:sz w:val="18"/>
              </w:rPr>
              <w:t>60×25 m</w:t>
            </w:r>
          </w:p>
        </w:tc>
        <w:tc>
          <w:tcPr>
            <w:tcW w:type="dxa" w:w="1984"/>
            <w:shd w:val="clear" w:color="auto" w:fill="FFFFFF"/>
            <w:vAlign w:val="center"/>
          </w:tcPr>
          <w:p>
            <w:r>
              <w:rPr>
                <w:sz w:val="18"/>
              </w:rPr>
              <w:t>Steel/concrete</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S1–S8</w:t>
            </w:r>
          </w:p>
        </w:tc>
        <w:tc>
          <w:tcPr>
            <w:tcW w:type="dxa" w:w="3118"/>
            <w:shd w:val="clear" w:color="auto" w:fill="F2F2F2"/>
            <w:vAlign w:val="center"/>
          </w:tcPr>
          <w:p>
            <w:r>
              <w:rPr>
                <w:sz w:val="18"/>
              </w:rPr>
              <w:t>Storage Bins</w:t>
            </w:r>
          </w:p>
        </w:tc>
        <w:tc>
          <w:tcPr>
            <w:tcW w:type="dxa" w:w="1587"/>
            <w:shd w:val="clear" w:color="auto" w:fill="F2F2F2"/>
            <w:vAlign w:val="center"/>
          </w:tcPr>
          <w:p>
            <w:r>
              <w:rPr>
                <w:sz w:val="18"/>
              </w:rPr>
              <w:t>Dia. 14 m</w:t>
            </w:r>
          </w:p>
        </w:tc>
        <w:tc>
          <w:tcPr>
            <w:tcW w:type="dxa" w:w="1984"/>
            <w:shd w:val="clear" w:color="auto" w:fill="F2F2F2"/>
            <w:vAlign w:val="center"/>
          </w:tcPr>
          <w:p>
            <w:r>
              <w:rPr>
                <w:sz w:val="18"/>
              </w:rPr>
              <w:t>Galv. steel</w:t>
            </w:r>
          </w:p>
        </w:tc>
        <w:tc>
          <w:tcPr>
            <w:tcW w:type="dxa" w:w="2381"/>
            <w:shd w:val="clear" w:color="auto" w:fill="F2F2F2"/>
            <w:vAlign w:val="center"/>
          </w:tcPr>
          <w:p>
            <w:r>
              <w:rPr>
                <w:sz w:val="18"/>
              </w:rPr>
              <w:t>South cluster</w:t>
            </w:r>
          </w:p>
        </w:tc>
      </w:tr>
      <w:tr>
        <w:tc>
          <w:tcPr>
            <w:tcW w:type="dxa" w:w="850"/>
            <w:shd w:val="clear" w:color="auto" w:fill="FFFFFF"/>
            <w:vAlign w:val="center"/>
          </w:tcPr>
          <w:p>
            <w:r>
              <w:rPr>
                <w:sz w:val="18"/>
              </w:rPr>
              <w:t>PL</w:t>
            </w:r>
          </w:p>
        </w:tc>
        <w:tc>
          <w:tcPr>
            <w:tcW w:type="dxa" w:w="3118"/>
            <w:shd w:val="clear" w:color="auto" w:fill="FFFFFF"/>
            <w:vAlign w:val="center"/>
          </w:tcPr>
          <w:p>
            <w:r>
              <w:rPr>
                <w:sz w:val="18"/>
              </w:rPr>
              <w:t>Packing &amp; Dispatch Shed</w:t>
            </w:r>
          </w:p>
        </w:tc>
        <w:tc>
          <w:tcPr>
            <w:tcW w:type="dxa" w:w="1587"/>
            <w:shd w:val="clear" w:color="auto" w:fill="FFFFFF"/>
            <w:vAlign w:val="center"/>
          </w:tcPr>
          <w:p>
            <w:r>
              <w:rPr>
                <w:sz w:val="18"/>
              </w:rPr>
              <w:t>35×20 m</w:t>
            </w:r>
          </w:p>
        </w:tc>
        <w:tc>
          <w:tcPr>
            <w:tcW w:type="dxa" w:w="1984"/>
            <w:shd w:val="clear" w:color="auto" w:fill="FFFFFF"/>
            <w:vAlign w:val="center"/>
          </w:tcPr>
          <w:p>
            <w:r>
              <w:rPr>
                <w:sz w:val="18"/>
              </w:rPr>
              <w:t>Tilt-up concrete</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9×5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RB</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6×4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NW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room</w:t>
            </w:r>
          </w:p>
        </w:tc>
        <w:tc>
          <w:tcPr>
            <w:tcW w:type="dxa" w:w="2381"/>
            <w:shd w:val="clear" w:color="auto" w:fill="F2F2F2"/>
            <w:vAlign w:val="center"/>
          </w:tcPr>
          <w:p>
            <w:r>
              <w:rPr>
                <w:sz w:val="18"/>
              </w:rPr>
              <w:t>RB north end</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Receival pit and elevator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receival</w:t>
            </w:r>
          </w:p>
        </w:tc>
      </w:tr>
      <w:tr>
        <w:tc>
          <w:tcPr>
            <w:tcW w:type="dxa" w:w="3685"/>
            <w:shd w:val="clear" w:color="auto" w:fill="F2F2F2"/>
            <w:vAlign w:val="center"/>
          </w:tcPr>
          <w:p>
            <w:r>
              <w:rPr>
                <w:sz w:val="18"/>
              </w:rPr>
              <w:t>Cleaning and separation unit</w:t>
            </w:r>
          </w:p>
        </w:tc>
        <w:tc>
          <w:tcPr>
            <w:tcW w:type="dxa" w:w="1984"/>
            <w:shd w:val="clear" w:color="auto" w:fill="F2F2F2"/>
            <w:vAlign w:val="center"/>
          </w:tcPr>
          <w:p>
            <w:r>
              <w:rPr>
                <w:sz w:val="18"/>
              </w:rPr>
              <w:t>1 unit</w:t>
            </w:r>
          </w:p>
        </w:tc>
        <w:tc>
          <w:tcPr>
            <w:tcW w:type="dxa" w:w="4252"/>
            <w:shd w:val="clear" w:color="auto" w:fill="F2F2F2"/>
            <w:vAlign w:val="center"/>
          </w:tcPr>
          <w:p>
            <w:r>
              <w:rPr>
                <w:sz w:val="18"/>
              </w:rPr>
              <w:t>Pre-storage cleaning</w:t>
            </w:r>
          </w:p>
        </w:tc>
      </w:tr>
      <w:tr>
        <w:tc>
          <w:tcPr>
            <w:tcW w:type="dxa" w:w="3685"/>
            <w:shd w:val="clear" w:color="auto" w:fill="FFFFFF"/>
            <w:vAlign w:val="center"/>
          </w:tcPr>
          <w:p>
            <w:r>
              <w:rPr>
                <w:sz w:val="18"/>
              </w:rPr>
              <w:t>Drying system</w:t>
            </w:r>
          </w:p>
        </w:tc>
        <w:tc>
          <w:tcPr>
            <w:tcW w:type="dxa" w:w="1984"/>
            <w:shd w:val="clear" w:color="auto" w:fill="FFFFFF"/>
            <w:vAlign w:val="center"/>
          </w:tcPr>
          <w:p>
            <w:r>
              <w:rPr>
                <w:sz w:val="18"/>
              </w:rPr>
              <w:t>continuous-flow</w:t>
            </w:r>
          </w:p>
        </w:tc>
        <w:tc>
          <w:tcPr>
            <w:tcW w:type="dxa" w:w="4252"/>
            <w:shd w:val="clear" w:color="auto" w:fill="FFFFFF"/>
            <w:vAlign w:val="center"/>
          </w:tcPr>
          <w:p>
            <w:r>
              <w:rPr>
                <w:sz w:val="18"/>
              </w:rPr>
              <w:t>Moisture reduction</w:t>
            </w:r>
          </w:p>
        </w:tc>
      </w:tr>
      <w:tr>
        <w:tc>
          <w:tcPr>
            <w:tcW w:type="dxa" w:w="3685"/>
            <w:shd w:val="clear" w:color="auto" w:fill="F2F2F2"/>
            <w:vAlign w:val="center"/>
          </w:tcPr>
          <w:p>
            <w:r>
              <w:rPr>
                <w:sz w:val="18"/>
              </w:rPr>
              <w:t>Packing/bagging line</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preparation</w:t>
            </w:r>
          </w:p>
        </w:tc>
      </w:tr>
      <w:tr>
        <w:tc>
          <w:tcPr>
            <w:tcW w:type="dxa" w:w="3685"/>
            <w:shd w:val="clear" w:color="auto" w:fill="FFFFFF"/>
            <w:vAlign w:val="center"/>
          </w:tcPr>
          <w:p>
            <w:r>
              <w:rPr>
                <w:sz w:val="18"/>
              </w:rPr>
              <w:t>Weighing system</w:t>
            </w:r>
          </w:p>
        </w:tc>
        <w:tc>
          <w:tcPr>
            <w:tcW w:type="dxa" w:w="1984"/>
            <w:shd w:val="clear" w:color="auto" w:fill="FFFFFF"/>
            <w:vAlign w:val="center"/>
          </w:tcPr>
          <w:p>
            <w:r>
              <w:rPr>
                <w:sz w:val="18"/>
              </w:rPr>
              <w:t>In-line</w:t>
            </w:r>
          </w:p>
        </w:tc>
        <w:tc>
          <w:tcPr>
            <w:tcW w:type="dxa" w:w="4252"/>
            <w:shd w:val="clear" w:color="auto" w:fill="FFFFFF"/>
            <w:vAlign w:val="center"/>
          </w:tcPr>
          <w:p>
            <w:r>
              <w:rPr>
                <w:sz w:val="18"/>
              </w:rPr>
              <w:t>Lot verification</w:t>
            </w:r>
          </w:p>
        </w:tc>
      </w:tr>
      <w:tr>
        <w:tc>
          <w:tcPr>
            <w:tcW w:type="dxa" w:w="3685"/>
            <w:shd w:val="clear" w:color="auto" w:fill="F2F2F2"/>
            <w:vAlign w:val="center"/>
          </w:tcPr>
          <w:p>
            <w:r>
              <w:rPr>
                <w:sz w:val="18"/>
              </w:rPr>
              <w:t>In-line quality sampler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Representative sampling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Rice.</w:t>
      </w:r>
    </w:p>
    <w:p>
      <w:pPr>
        <w:pStyle w:val="Heading2"/>
      </w:pPr>
      <w:r>
        <w:t>4.2  Lighting (C2)</w:t>
      </w:r>
    </w:p>
    <w:p>
      <w:r>
        <w:rPr>
          <w:b w:val="0"/>
          <w:i w:val="0"/>
          <w:sz w:val="20"/>
        </w:rPr>
        <w:t>T5 LED fluorescent panels on 600 mm spacing — 550 lux at floor level throughout processing area. Task lighting above grading line at 600 lux. Loading dock: 400 W LED floods at 418 lux. Emergency lighting on dedicated UPS circuit.</w:t>
      </w:r>
    </w:p>
    <w:p>
      <w:pPr>
        <w:pStyle w:val="Heading2"/>
      </w:pPr>
      <w:r>
        <w:t>4.3  Handwashing and Toilet Facilities (C3)</w:t>
      </w:r>
    </w:p>
    <w:p>
      <w:r>
        <w:rPr>
          <w:b w:val="0"/>
          <w:i w:val="0"/>
          <w:sz w:val="20"/>
        </w:rPr>
        <w:t>Self-contained amenities unit: 2 flush toilets, urinal, 3 hand basins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2009, resealed 2014);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Floor drainage in the processing area consists of an open channel (150 mm wide × 100 mm deep) running to an outlet at the building perimeter. The outlet discharges via a short pipe to the site's agricultural drainage channel which runs to the property boundary. No sump, interceptor trap or containment is provided between the processing floor drain and the external waterway.</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Product waste and screenings</w:t>
            </w:r>
          </w:p>
        </w:tc>
        <w:tc>
          <w:tcPr>
            <w:tcW w:type="dxa" w:w="4252"/>
            <w:shd w:val="clear" w:color="auto" w:fill="FFFFFF"/>
            <w:vAlign w:val="center"/>
          </w:tcPr>
          <w:p>
            <w:r>
              <w:rPr>
                <w:sz w:val="18"/>
              </w:rPr>
              <w:t>Collection hoppers under cleaning unit</w:t>
            </w:r>
          </w:p>
        </w:tc>
        <w:tc>
          <w:tcPr>
            <w:tcW w:type="dxa" w:w="2835"/>
            <w:shd w:val="clear" w:color="auto" w:fill="FFFFFF"/>
            <w:vAlign w:val="center"/>
          </w:tcPr>
          <w:p>
            <w:r>
              <w:rPr>
                <w:sz w:val="18"/>
              </w:rPr>
              <w:t>Daily removal</w:t>
            </w:r>
          </w:p>
        </w:tc>
      </w:tr>
      <w:tr>
        <w:tc>
          <w:tcPr>
            <w:tcW w:type="dxa" w:w="2835"/>
            <w:shd w:val="clear" w:color="auto" w:fill="F2F2F2"/>
            <w:vAlign w:val="center"/>
          </w:tcPr>
          <w:p>
            <w:r>
              <w:rPr>
                <w:sz w:val="18"/>
              </w:rPr>
              <w:t>Grain dust</w:t>
            </w:r>
          </w:p>
        </w:tc>
        <w:tc>
          <w:tcPr>
            <w:tcW w:type="dxa" w:w="4252"/>
            <w:shd w:val="clear" w:color="auto" w:fill="F2F2F2"/>
            <w:vAlign w:val="center"/>
          </w:tcPr>
          <w:p>
            <w:r>
              <w:rPr>
                <w:sz w:val="18"/>
              </w:rPr>
              <w:t>Bag filter or cyclone</w:t>
            </w:r>
          </w:p>
        </w:tc>
        <w:tc>
          <w:tcPr>
            <w:tcW w:type="dxa" w:w="2835"/>
            <w:shd w:val="clear" w:color="auto" w:fill="F2F2F2"/>
            <w:vAlign w:val="center"/>
          </w:tcPr>
          <w:p>
            <w:r>
              <w:rPr>
                <w:sz w:val="18"/>
              </w:rPr>
              <w:t>Fortnightly</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Drains → contained sump</w:t>
            </w:r>
          </w:p>
        </w:tc>
        <w:tc>
          <w:tcPr>
            <w:tcW w:type="dxa" w:w="2835"/>
            <w:shd w:val="clear" w:color="auto" w:fill="FFFFFF"/>
            <w:vAlign w:val="center"/>
          </w:tcPr>
          <w:p>
            <w:r>
              <w:rPr>
                <w:sz w:val="18"/>
              </w:rPr>
              <w:t>Weekly</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Covered skip</w:t>
            </w:r>
          </w:p>
        </w:tc>
        <w:tc>
          <w:tcPr>
            <w:tcW w:type="dxa" w:w="2835"/>
            <w:shd w:val="clear" w:color="auto" w:fill="F2F2F2"/>
            <w:vAlign w:val="center"/>
          </w:tcPr>
          <w:p>
            <w:r>
              <w:rPr>
                <w:sz w:val="18"/>
              </w:rPr>
              <w:t>Fortnightly contractor</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Ausgrid/Endeavour Energy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 irrigation licence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Alan Russo</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29 March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