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Mildura Pulse</w:t>
            </w:r>
          </w:p>
        </w:tc>
      </w:tr>
      <w:tr>
        <w:tc>
          <w:tcPr>
            <w:tcW w:type="dxa" w:w="3118"/>
            <w:shd w:val="clear" w:color="auto" w:fill="DCE6F1"/>
            <w:vAlign w:val="center"/>
          </w:tcPr>
          <w:p>
            <w:r>
              <w:rPr>
                <w:b/>
                <w:sz w:val="18"/>
              </w:rPr>
              <w:t>RE Number</w:t>
            </w:r>
          </w:p>
        </w:tc>
        <w:tc>
          <w:tcPr>
            <w:tcW w:type="dxa" w:w="6236"/>
            <w:vAlign w:val="center"/>
          </w:tcPr>
          <w:p>
            <w:r>
              <w:rPr>
                <w:sz w:val="18"/>
              </w:rPr>
              <w:t>RE-VIC-2021-0099</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33 Calder Highway, Mildura VIC 3500</w:t>
            </w:r>
          </w:p>
        </w:tc>
      </w:tr>
      <w:tr>
        <w:tc>
          <w:tcPr>
            <w:tcW w:type="dxa" w:w="3118"/>
            <w:shd w:val="clear" w:color="auto" w:fill="DCE6F1"/>
            <w:vAlign w:val="center"/>
          </w:tcPr>
          <w:p>
            <w:r>
              <w:rPr>
                <w:b/>
                <w:sz w:val="18"/>
              </w:rPr>
              <w:t>Registered Commodity</w:t>
            </w:r>
          </w:p>
        </w:tc>
        <w:tc>
          <w:tcPr>
            <w:tcW w:type="dxa" w:w="6236"/>
            <w:vAlign w:val="center"/>
          </w:tcPr>
          <w:p>
            <w:r>
              <w:rPr>
                <w:sz w:val="18"/>
              </w:rPr>
              <w:t>Berries</w:t>
            </w:r>
          </w:p>
        </w:tc>
      </w:tr>
      <w:tr>
        <w:tc>
          <w:tcPr>
            <w:tcW w:type="dxa" w:w="3118"/>
            <w:shd w:val="clear" w:color="auto" w:fill="DCE6F1"/>
            <w:vAlign w:val="center"/>
          </w:tcPr>
          <w:p>
            <w:r>
              <w:rPr>
                <w:b/>
                <w:sz w:val="18"/>
              </w:rPr>
              <w:t>Responsible Officer</w:t>
            </w:r>
          </w:p>
        </w:tc>
        <w:tc>
          <w:tcPr>
            <w:tcW w:type="dxa" w:w="6236"/>
            <w:vAlign w:val="center"/>
          </w:tcPr>
          <w:p>
            <w:r>
              <w:rPr>
                <w:sz w:val="18"/>
              </w:rPr>
              <w:t>Cathy Morgan</w:t>
            </w:r>
          </w:p>
        </w:tc>
      </w:tr>
      <w:tr>
        <w:tc>
          <w:tcPr>
            <w:tcW w:type="dxa" w:w="3118"/>
            <w:shd w:val="clear" w:color="auto" w:fill="DCE6F1"/>
            <w:vAlign w:val="center"/>
          </w:tcPr>
          <w:p>
            <w:r>
              <w:rPr>
                <w:b/>
                <w:sz w:val="18"/>
              </w:rPr>
              <w:t>Property Area</w:t>
            </w:r>
          </w:p>
        </w:tc>
        <w:tc>
          <w:tcPr>
            <w:tcW w:type="dxa" w:w="6236"/>
            <w:vAlign w:val="center"/>
          </w:tcPr>
          <w:p>
            <w:r>
              <w:rPr>
                <w:sz w:val="18"/>
              </w:rPr>
              <w:t>62.0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5 February 2024</w:t>
            </w:r>
          </w:p>
        </w:tc>
      </w:tr>
      <w:tr>
        <w:tc>
          <w:tcPr>
            <w:tcW w:type="dxa" w:w="3118"/>
            <w:shd w:val="clear" w:color="auto" w:fill="DCE6F1"/>
            <w:vAlign w:val="center"/>
          </w:tcPr>
          <w:p>
            <w:r>
              <w:rPr>
                <w:b/>
                <w:sz w:val="18"/>
              </w:rPr>
              <w:t>Next Review</w:t>
            </w:r>
          </w:p>
        </w:tc>
        <w:tc>
          <w:tcPr>
            <w:tcW w:type="dxa" w:w="6236"/>
            <w:vAlign w:val="center"/>
          </w:tcPr>
          <w:p>
            <w:r>
              <w:rPr>
                <w:sz w:val="18"/>
              </w:rPr>
              <w:t>5 February 2026</w:t>
            </w:r>
          </w:p>
        </w:tc>
      </w:tr>
    </w:tbl>
    <w:p/>
    <w:p>
      <w:pPr>
        <w:pStyle w:val="Heading1"/>
      </w:pPr>
      <w:r>
        <w:rPr>
          <w:color w:val="1F497D"/>
        </w:rPr>
        <w:t>1.  OVERVIEW</w:t>
      </w:r>
    </w:p>
    <w:p>
      <w:r>
        <w:rPr>
          <w:b w:val="0"/>
          <w:i w:val="0"/>
          <w:sz w:val="20"/>
        </w:rPr>
        <w:t>Mildura Pulse is a registered export establishment located at 33 Calder Highway, Mildura VIC 3500, VIC. The establishment holds RE Number RE-VIC-2021-0099 and is registered to handle and export Berries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Berries.</w:t>
      </w:r>
    </w:p>
    <w:p>
      <w:pPr>
        <w:pStyle w:val="Heading2"/>
      </w:pPr>
      <w:r>
        <w:t>4.2  Lighting (C2)</w:t>
      </w:r>
    </w:p>
    <w:p>
      <w:r>
        <w:rPr>
          <w:b w:val="0"/>
          <w:i w:val="0"/>
          <w:sz w:val="20"/>
        </w:rPr>
        <w:t>T5 LED fluorescent panels on 600 mm spacing — 450 lux at floor level throughout processing area. Task lighting above grading line at 500 lux. Loading dock: 300 W LED floods at 342 lux. Emergency lighting on dedicated UPS circuit.</w:t>
      </w:r>
    </w:p>
    <w:p>
      <w:pPr>
        <w:pStyle w:val="Heading2"/>
      </w:pPr>
      <w:r>
        <w:t>4.3  Handwashing and Toilet Facilities (C3)</w:t>
      </w:r>
    </w:p>
    <w:p>
      <w:r>
        <w:rPr>
          <w:b w:val="0"/>
          <w:i w:val="0"/>
          <w:sz w:val="20"/>
        </w:rPr>
        <w:t>Self-contained amenities unit: 1 toilet, 1 hand basin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2017, resealed 2022);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Wall surfaces are smooth and sealed. The concrete floor has developed crack networks (predominantly at construction joints and forklift routes) with crack widths 3–12 mm, providing harbourage for insects, grain residue and moisture. The floor was last sealed in 2022, but sealant has broken down in high-traffic areas. Door threshold seals on roller doors are in good condition.</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Cathy Morgan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5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