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Coral Coast Cotton Pty Ltd</w:t>
            </w:r>
          </w:p>
        </w:tc>
        <w:tc>
          <w:tcPr>
            <w:tcW w:type="dxa" w:w="4703"/>
          </w:tcPr>
          <w:p>
            <w:r>
              <w:rPr>
                <w:sz w:val="16"/>
              </w:rPr>
              <w:t>RE Number:   RE-VIC-3011</w:t>
              <w:br/>
            </w:r>
            <w:r>
              <w:rPr>
                <w:sz w:val="16"/>
              </w:rPr>
              <w:t>Doc Ref:        COR-HACCP-012</w:t>
              <w:br/>
            </w:r>
            <w:r>
              <w:rPr>
                <w:sz w:val="16"/>
              </w:rPr>
              <w:t>Version:        4.1</w:t>
              <w:br/>
            </w:r>
            <w:r>
              <w:rPr>
                <w:sz w:val="16"/>
              </w:rPr>
              <w:t>Date:             July 2024</w:t>
              <w:br/>
            </w:r>
            <w:r>
              <w:rPr>
                <w:sz w:val="16"/>
              </w:rPr>
              <w:t>State:            Western Australia</w:t>
              <w:br/>
            </w:r>
          </w:p>
        </w:tc>
      </w:tr>
    </w:tbl>
    <w:p>
      <w:pPr>
        <w:spacing w:before="200" w:after="60"/>
      </w:pPr>
      <w:r>
        <w:rPr>
          <w:b/>
          <w:color w:val="1F497D"/>
          <w:sz w:val="24"/>
        </w:rPr>
        <w:t>1. Introduction, Scope and Product Description</w:t>
      </w:r>
    </w:p>
    <w:p>
      <w:pPr>
        <w:spacing w:after="60"/>
      </w:pPr>
      <w:r>
        <w:rPr>
          <w:sz w:val="20"/>
        </w:rPr>
        <w:t>Establishment: Coral Coast Cotton Pty Ltd</w:t>
      </w:r>
    </w:p>
    <w:p>
      <w:pPr>
        <w:spacing w:after="60"/>
      </w:pPr>
      <w:r>
        <w:rPr>
          <w:sz w:val="20"/>
        </w:rPr>
        <w:t>Address: 12 Station Road, Western Australia</w:t>
      </w:r>
    </w:p>
    <w:p>
      <w:pPr>
        <w:spacing w:after="60"/>
      </w:pPr>
      <w:r>
        <w:rPr>
          <w:sz w:val="20"/>
        </w:rPr>
        <w:t>Commodity: White Sorghum, Hard Wheat</w:t>
      </w:r>
    </w:p>
    <w:p>
      <w:pPr>
        <w:spacing w:after="60"/>
      </w:pPr>
      <w:r>
        <w:rPr>
          <w:sz w:val="20"/>
        </w:rPr>
        <w:t>Scope: Receival, blending, storage, cleaning and bulk loading of food-grade sorghum and wheat at Lucinda port terminal for export. Registered area RE-QLD-1547.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Manager 12 (Quality Lead)</w:t>
      </w:r>
    </w:p>
    <w:p>
      <w:pPr>
        <w:pStyle w:val="ListBullet"/>
        <w:spacing w:after="40"/>
      </w:pPr>
      <w:r>
        <w:rPr>
          <w:sz w:val="20"/>
        </w:rPr>
        <w:t>Operator 12A</w:t>
      </w:r>
    </w:p>
    <w:p>
      <w:pPr>
        <w:pStyle w:val="ListBullet"/>
        <w:spacing w:after="40"/>
      </w:pPr>
      <w:r>
        <w:rPr>
          <w:sz w:val="20"/>
        </w:rPr>
        <w:t>Operator 12B</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sz w:val="20"/>
        </w:rPr>
        <w:t>Waste Management Procedure (NQGT-WMP-001):</w:t>
        <w:br/>
        <w:t>• Screenings: scalper waste in sealed skip; removed by contractor to composting monthly.</w:t>
        <w:br/>
        <w:t>• Grain dust: cyclone collector emptied weekly; removed to composting.</w:t>
        <w:br/>
        <w:t>• Vessel hold washings: water + grain residues pumped to shore reception; disposed per port environmental regulations.</w:t>
        <w:br/>
        <w:t>• Chemical waste: fumigant sachets disposed per APVMA requirements.</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color w:val="9C0006"/>
          <w:sz w:val="20"/>
        </w:rPr>
        <w:t>[DEFICIENCY — NOT DOCUMENTED]</w:t>
        <w:br/>
        <w:t>No documented traceability system linking receival, processing, packing and dispatch for Coral Coast Cotton Pty Ltd. No lot coding, one-step-back/forward procedures, or recall protocol.</w:t>
      </w:r>
    </w:p>
    <w:p>
      <w:pPr>
        <w:spacing w:before="200" w:after="60"/>
      </w:pPr>
      <w:r>
        <w:rPr>
          <w:b/>
          <w:color w:val="1F497D"/>
          <w:sz w:val="24"/>
        </w:rPr>
        <w:t>9. Product Flow Chart and Failed Goods (Checking Point 4.1)</w:t>
      </w:r>
    </w:p>
    <w:p>
      <w:pPr>
        <w:spacing w:after="60"/>
      </w:pPr>
      <w:r>
        <w:rPr>
          <w:sz w:val="20"/>
        </w:rPr>
        <w:t>[DEFICIENCY] No standalone product flow chart diagram attached to this HACCP plan.</w:t>
      </w:r>
    </w:p>
    <w:p>
      <w:pPr>
        <w:spacing w:after="60"/>
      </w:pPr>
      <w:r>
        <w:rPr>
          <w:sz w:val="20"/>
        </w:rPr>
        <w:t>Failed Goods Procedure (NQGT-FGP-001):</w:t>
        <w:br/>
        <w:t>• Mycotoxin/MRL failure: silo on HOLD; NATA retest; if confirmed — downgrade to domestic feed.</w:t>
        <w:br/>
        <w:t>• Vessel rejection: grain returned to terminal silo; re-inspect; document; DAFF notified.</w:t>
        <w:br/>
        <w:t>• Records: Non-Conformance Register (NQGT-NCR-01).</w:t>
      </w:r>
    </w:p>
    <w:p>
      <w:pPr>
        <w:spacing w:before="200" w:after="60"/>
      </w:pPr>
      <w:r>
        <w:rPr>
          <w:b/>
          <w:color w:val="1F497D"/>
          <w:sz w:val="24"/>
        </w:rPr>
        <w:t>10. Phytosanitary Security / Contamination Risk (Checking Point 4.2)</w:t>
      </w:r>
    </w:p>
    <w:p>
      <w:pPr>
        <w:spacing w:after="60"/>
      </w:pPr>
      <w:r>
        <w:rPr>
          <w:sz w:val="20"/>
        </w:rPr>
        <w:t>Phytosanitary Security (NQGT-PSP-001):</w:t>
        <w:br/>
        <w:t>• Vessel hold surveyed and approved by DAFF before loading.</w:t>
        <w:br/>
        <w:t>• Phytosanitary certificate issued per vessel by DAFF.</w:t>
        <w:br/>
        <w:t>• Post-fumigation grain not moved until DAFF sampling complete.</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4.1</w:t>
            </w:r>
          </w:p>
        </w:tc>
        <w:tc>
          <w:tcPr>
            <w:tcW w:type="dxa" w:w="2351"/>
          </w:tcPr>
          <w:p>
            <w:pPr>
              <w:jc w:val="center"/>
            </w:pPr>
            <w:r/>
            <w:r>
              <w:rPr>
                <w:sz w:val="16"/>
              </w:rPr>
              <w:t>July 2024</w:t>
            </w:r>
          </w:p>
        </w:tc>
        <w:tc>
          <w:tcPr>
            <w:tcW w:type="dxa" w:w="2351"/>
          </w:tcPr>
          <w:p>
            <w:pPr>
              <w:jc w:val="center"/>
            </w:pPr>
            <w:r/>
            <w:r>
              <w:rPr>
                <w:sz w:val="16"/>
              </w:rPr>
              <w:t>Manager 12 (Quality Lead)</w:t>
            </w:r>
          </w:p>
        </w:tc>
        <w:tc>
          <w:tcPr>
            <w:tcW w:type="dxa" w:w="2351"/>
          </w:tcPr>
          <w:p>
            <w:pPr>
              <w:jc w:val="center"/>
            </w:pPr>
            <w:r/>
            <w:r>
              <w:rPr>
                <w:sz w:val="16"/>
              </w:rPr>
              <w:t>Current approved version — see document history</w:t>
            </w:r>
          </w:p>
        </w:tc>
      </w:tr>
    </w:tbl>
    <w:p/>
    <w:p>
      <w:pPr>
        <w:spacing w:after="60"/>
      </w:pPr>
      <w:r>
        <w:rPr>
          <w:sz w:val="20"/>
        </w:rPr>
        <w:t>Approved by:  Manager 12 (Quality Lead)  |  Title: HACCP Lead  |  Date: July 2024</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