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4"/>
        </w:rPr>
        <w:t>FARM SITE PLAN</w:t>
      </w:r>
    </w:p>
    <w:p/>
    <w:p>
      <w:pPr>
        <w:jc w:val="center"/>
      </w:pPr>
      <w:r>
        <w:rPr>
          <w:color w:val="1F497D"/>
          <w:sz w:val="24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Establishment Name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Sunraysia Grain and Pulse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RE-VIC-2021-0144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State / Territory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VIC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Property Address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111 Calder Highway, Mildura VIC 3500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Lot / Plan Reference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Lot 14 SP 195520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Registered Commodity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Mangoes (Kensington Pride, R2E2, Calypso)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Total Property Area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2.3 ha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Prepared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Plan Version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Current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1.  REGISTERED EXPORT AREA</w:t>
      </w:r>
    </w:p>
    <w:p>
      <w:r>
        <w:rPr>
          <w:i/>
          <w:color w:val="444444"/>
          <w:sz w:val="18"/>
        </w:rPr>
        <w:t>Export Control (Plants and Plant Products) Rules 2021 s4-3(2)(a)</w:t>
      </w:r>
    </w:p>
    <w:p>
      <w:r>
        <w:rPr>
          <w:b w:val="0"/>
          <w:i w:val="0"/>
          <w:sz w:val="20"/>
        </w:rPr>
        <w:t>The registered export area is 2.3 ha, being the packhouse precinct in the north-west corner of Lot 14 SP 195520, delineated on the plan by the security fence boundary. Area annotated as 2.3 ha. RE Number RE-VIC-2018-0622.</w:t>
      </w:r>
    </w:p>
    <w:p/>
    <w:p>
      <w:pPr>
        <w:pStyle w:val="Heading1"/>
        <w:jc w:val="left"/>
      </w:pPr>
      <w:r>
        <w:rPr>
          <w:color w:val="1F497D"/>
        </w:rPr>
        <w:t>2.  ADJOINING SITES AND SURROUNDING FEATURES</w:t>
      </w:r>
    </w:p>
    <w:p>
      <w:r>
        <w:rPr>
          <w:i/>
          <w:color w:val="444444"/>
          <w:sz w:val="18"/>
        </w:rPr>
        <w:t>Rules s4-3(2)(b) — Important features of the registered area and adjoining sites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Direction</w:t>
            </w:r>
          </w:p>
        </w:tc>
        <w:tc>
          <w:tcPr>
            <w:tcW w:type="dxa" w:w="822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Adjoining Feature / Land Use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North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Plantation Road — gazetted B-double route; sealed bitumen; dual-lane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East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Burdekin River irrigation channel — 15 m easement, council drainage reserve</w:t>
            </w:r>
          </w:p>
        </w:tc>
      </w:tr>
      <w:tr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South</w:t>
            </w:r>
          </w:p>
        </w:tc>
        <w:tc>
          <w:tcPr>
            <w:tcW w:type="dxa" w:w="8220"/>
            <w:shd w:val="clear" w:color="auto" w:fill="FFFFFF"/>
            <w:vAlign w:val="center"/>
          </w:tcPr>
          <w:p>
            <w:r>
              <w:rPr>
                <w:sz w:val="18"/>
              </w:rPr>
              <w:t>Mango orchard — remainder of property (not registered)</w:t>
            </w:r>
          </w:p>
        </w:tc>
      </w:tr>
      <w:tr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West</w:t>
            </w:r>
          </w:p>
        </w:tc>
        <w:tc>
          <w:tcPr>
            <w:tcW w:type="dxa" w:w="8220"/>
            <w:shd w:val="clear" w:color="auto" w:fill="F2F2F2"/>
            <w:vAlign w:val="center"/>
          </w:tcPr>
          <w:p>
            <w:r>
              <w:rPr>
                <w:sz w:val="18"/>
              </w:rPr>
              <w:t>Adjacent mango packing operation — separate RE registration (third party)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3.  BUILDINGS, STRUCTURES AND INFRASTRUCTURE</w:t>
      </w:r>
    </w:p>
    <w:p>
      <w:r>
        <w:rPr>
          <w:i/>
          <w:color w:val="444444"/>
          <w:sz w:val="18"/>
        </w:rPr>
        <w:t>Rules s4-2 — Buildings, equipment, facilities and services required for export operations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85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Code</w:t>
            </w:r>
          </w:p>
        </w:tc>
        <w:tc>
          <w:tcPr>
            <w:tcW w:type="dxa" w:w="311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Building / Structure</w:t>
            </w:r>
          </w:p>
        </w:tc>
        <w:tc>
          <w:tcPr>
            <w:tcW w:type="dxa" w:w="170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Dimensions</w:t>
            </w:r>
          </w:p>
        </w:tc>
        <w:tc>
          <w:tcPr>
            <w:tcW w:type="dxa" w:w="198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Construction</w:t>
            </w:r>
          </w:p>
        </w:tc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WB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Weighbridge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40 t pit type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Concrete pit, steel deck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Road entry — north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PH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Mango Packing Shed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40 × 28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 portal, insulated cladding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of RE area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CS1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1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CS2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Cool Room 2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East of PH, adjacent CS1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CS3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Cool Room 3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18 × 12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Insulated panel, R410A condenser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East of PH, adjacent CS2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IB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6 × 5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Enclosed room within PH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NW corner of PH</w:t>
            </w:r>
          </w:p>
        </w:tc>
      </w:tr>
      <w:tr>
        <w:tc>
          <w:tcPr>
            <w:tcW w:type="dxa" w:w="850"/>
            <w:shd w:val="clear" w:color="auto" w:fill="FFFFFF"/>
            <w:vAlign w:val="center"/>
          </w:tcPr>
          <w:p>
            <w:r>
              <w:rPr>
                <w:sz w:val="18"/>
              </w:rPr>
              <w:t>AM</w:t>
            </w:r>
          </w:p>
        </w:tc>
        <w:tc>
          <w:tcPr>
            <w:tcW w:type="dxa" w:w="3118"/>
            <w:shd w:val="clear" w:color="auto" w:fill="FFFFFF"/>
            <w:vAlign w:val="center"/>
          </w:tcPr>
          <w:p>
            <w:r>
              <w:rPr>
                <w:sz w:val="18"/>
              </w:rPr>
              <w:t>Amenities Block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>
              <w:rPr>
                <w:sz w:val="18"/>
              </w:rPr>
              <w:t>8 × 5 m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>
              <w:rPr>
                <w:sz w:val="18"/>
              </w:rPr>
              <w:t>Brick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Adjacent PH main entry</w:t>
            </w:r>
          </w:p>
        </w:tc>
      </w:tr>
      <w:tr>
        <w:tc>
          <w:tcPr>
            <w:tcW w:type="dxa" w:w="850"/>
            <w:shd w:val="clear" w:color="auto" w:fill="F2F2F2"/>
            <w:vAlign w:val="center"/>
          </w:tcPr>
          <w:p>
            <w:r>
              <w:rPr>
                <w:sz w:val="18"/>
              </w:rPr>
              <w:t>CH</w:t>
            </w:r>
          </w:p>
        </w:tc>
        <w:tc>
          <w:tcPr>
            <w:tcW w:type="dxa" w:w="3118"/>
            <w:shd w:val="clear" w:color="auto" w:fill="F2F2F2"/>
            <w:vAlign w:val="center"/>
          </w:tcPr>
          <w:p>
            <w:r>
              <w:rPr>
                <w:sz w:val="18"/>
              </w:rPr>
              <w:t>Chemical Store</w:t>
            </w:r>
          </w:p>
        </w:tc>
        <w:tc>
          <w:tcPr>
            <w:tcW w:type="dxa" w:w="1701"/>
            <w:shd w:val="clear" w:color="auto" w:fill="F2F2F2"/>
            <w:vAlign w:val="center"/>
          </w:tcPr>
          <w:p>
            <w:r>
              <w:rPr>
                <w:sz w:val="18"/>
              </w:rPr>
              <w:t>5 × 3 m</w:t>
            </w:r>
          </w:p>
        </w:tc>
        <w:tc>
          <w:tcPr>
            <w:tcW w:type="dxa" w:w="1984"/>
            <w:shd w:val="clear" w:color="auto" w:fill="F2F2F2"/>
            <w:vAlign w:val="center"/>
          </w:tcPr>
          <w:p>
            <w:r>
              <w:rPr>
                <w:sz w:val="18"/>
              </w:rPr>
              <w:t>Steel, bunded</w:t>
            </w:r>
          </w:p>
        </w:tc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SE corner of RE area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4.  SERVICES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268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7654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/ Connection Details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Electricity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Three-phase — Ergon Energy at road entry; 200 kVA generator backup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Water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Irrigation scheme + bore water + town water for amenities</w:t>
            </w:r>
          </w:p>
        </w:tc>
      </w:tr>
      <w:tr>
        <w:tc>
          <w:tcPr>
            <w:tcW w:type="dxa" w:w="2268"/>
            <w:shd w:val="clear" w:color="auto" w:fill="FFFFFF"/>
            <w:vAlign w:val="center"/>
          </w:tcPr>
          <w:p>
            <w:r>
              <w:rPr>
                <w:sz w:val="18"/>
              </w:rPr>
              <w:t>Sewerage</w:t>
            </w:r>
          </w:p>
        </w:tc>
        <w:tc>
          <w:tcPr>
            <w:tcW w:type="dxa" w:w="7654"/>
            <w:shd w:val="clear" w:color="auto" w:fill="FFFFFF"/>
            <w:vAlign w:val="center"/>
          </w:tcPr>
          <w:p>
            <w:r>
              <w:rPr>
                <w:sz w:val="18"/>
              </w:rPr>
              <w:t>Septic system — AM block</w:t>
            </w:r>
          </w:p>
        </w:tc>
      </w:tr>
      <w:tr>
        <w:tc>
          <w:tcPr>
            <w:tcW w:type="dxa" w:w="2268"/>
            <w:shd w:val="clear" w:color="auto" w:fill="F2F2F2"/>
            <w:vAlign w:val="center"/>
          </w:tcPr>
          <w:p>
            <w:r>
              <w:rPr>
                <w:sz w:val="18"/>
              </w:rPr>
              <w:t>Refrigeration</w:t>
            </w:r>
          </w:p>
        </w:tc>
        <w:tc>
          <w:tcPr>
            <w:tcW w:type="dxa" w:w="7654"/>
            <w:shd w:val="clear" w:color="auto" w:fill="F2F2F2"/>
            <w:vAlign w:val="center"/>
          </w:tcPr>
          <w:p>
            <w:r>
              <w:rPr>
                <w:sz w:val="18"/>
              </w:rPr>
              <w:t>HFC-410A — CS1/CS2/CS3 condensers on east wall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5.  EXPORT OPERATIONS LAYOUT</w:t>
      </w:r>
    </w:p>
    <w:p>
      <w:r>
        <w:rPr>
          <w:i/>
          <w:color w:val="444444"/>
          <w:sz w:val="18"/>
        </w:rPr>
        <w:t>Rules s4-3(2)(c) — Layout of areas where export operations occur, permanent fixtures and equipment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7370"/>
            <w:shd w:val="clear" w:color="auto" w:fill="1F497D"/>
            <w:vAlign w:val="center"/>
          </w:tcPr>
          <w:p>
            <w:r>
              <w:rPr>
                <w:b/>
                <w:color w:val="FFFFFF"/>
                <w:sz w:val="18"/>
              </w:rPr>
              <w:t>Description and Location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Receival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Mangoes received at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Processing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Processing conducted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Cold storage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CS1, CS2 and CS3 adjacent to PH (see building schedule above)</w:t>
            </w:r>
          </w:p>
        </w:tc>
      </w:tr>
      <w:tr>
        <w:tc>
          <w:tcPr>
            <w:tcW w:type="dxa" w:w="2551"/>
            <w:shd w:val="clear" w:color="auto" w:fill="F2F2F2"/>
            <w:vAlign w:val="center"/>
          </w:tcPr>
          <w:p>
            <w:r>
              <w:rPr>
                <w:sz w:val="18"/>
              </w:rPr>
              <w:t>Inspection</w:t>
            </w:r>
          </w:p>
        </w:tc>
        <w:tc>
          <w:tcPr>
            <w:tcW w:type="dxa" w:w="7370"/>
            <w:shd w:val="clear" w:color="auto" w:fill="F2F2F2"/>
            <w:vAlign w:val="center"/>
          </w:tcPr>
          <w:p>
            <w:r>
              <w:rPr>
                <w:sz w:val="18"/>
              </w:rPr>
              <w:t>DAFF Inspection Room IB within PH (see building schedule above)</w:t>
            </w:r>
          </w:p>
        </w:tc>
      </w:tr>
      <w:tr>
        <w:tc>
          <w:tcPr>
            <w:tcW w:type="dxa" w:w="2551"/>
            <w:shd w:val="clear" w:color="auto" w:fill="FFFFFF"/>
            <w:vAlign w:val="center"/>
          </w:tcPr>
          <w:p>
            <w:r>
              <w:rPr>
                <w:sz w:val="18"/>
              </w:rPr>
              <w:t>Dispatch</w:t>
            </w:r>
          </w:p>
        </w:tc>
        <w:tc>
          <w:tcPr>
            <w:tcW w:type="dxa" w:w="7370"/>
            <w:shd w:val="clear" w:color="auto" w:fill="FFFFFF"/>
            <w:vAlign w:val="center"/>
          </w:tcPr>
          <w:p>
            <w:r>
              <w:rPr>
                <w:sz w:val="18"/>
              </w:rPr>
              <w:t>Export trucks depart via north entry — Plantation Road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6.  SCHEMATIC SITE PLAN</w:t>
      </w:r>
    </w:p>
    <w:p>
      <w:r>
        <w:rPr>
          <w:i/>
          <w:color w:val="444444"/>
          <w:sz w:val="18"/>
        </w:rPr>
        <w:t>Schematic representation. Full-scale engineering drawing maintained on file.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354"/>
            <w:shd w:val="clear" w:color="auto" w:fill="F8F8F8"/>
          </w:tcPr>
          <w:p>
            <w:r>
              <w:rPr>
                <w:rFonts w:ascii="Courier New" w:hAnsi="Courier New"/>
                <w:sz w:val="14"/>
              </w:rPr>
              <w:t>┌────────────────────────────────────────────────────────────────────┐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r>
              <w:rPr>
                <w:rFonts w:ascii="Courier New" w:hAnsi="Courier New"/>
                <w:sz w:val="14"/>
              </w:rPr>
              <w:t>│        BURDEKIN MANGO EXPORTS — SITE PLAN SCHEMATIC               │</w:t>
            </w:r>
          </w:p>
          <w:p>
            <w:r>
              <w:rPr>
                <w:rFonts w:ascii="Courier New" w:hAnsi="Courier New"/>
                <w:sz w:val="14"/>
              </w:rPr>
              <w:t>│  RE-VIC-2018-0622    Registered Export Area: 2.3 ha       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 ◄──────────── PLANTATION ROAD (NORTH) ──────────────────►        │</w:t>
            </w:r>
          </w:p>
          <w:p>
            <w:r>
              <w:rPr>
                <w:rFonts w:ascii="Courier New" w:hAnsi="Courier New"/>
                <w:sz w:val="14"/>
              </w:rPr>
              <w:t>│  ╔══════════════════════════════════════════════════════╗          │</w:t>
            </w:r>
          </w:p>
          <w:p>
            <w:r>
              <w:rPr>
                <w:rFonts w:ascii="Courier New" w:hAnsi="Courier New"/>
                <w:sz w:val="14"/>
              </w:rPr>
              <w:t>│  ║  REGISTERED EXPORT AREA  2.3 ha  (security fence)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[WB] Weighbridge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[IB]  [PH] Mango Packing Shed  40×28m  [AM]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(building outline)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[CS1]  [CS2]  [CS3] Cool Rooms  18×12m each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                              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║  [CH] Chemical Store  SE corner                      ║          │</w:t>
            </w:r>
          </w:p>
          <w:p>
            <w:r>
              <w:rPr>
                <w:rFonts w:ascii="Courier New" w:hAnsi="Courier New"/>
                <w:sz w:val="14"/>
              </w:rPr>
              <w:t>│  ╚══════════════════════════════════════════════════════╝          │</w:t>
            </w:r>
          </w:p>
          <w:p>
            <w:r>
              <w:rPr>
                <w:rFonts w:ascii="Courier New" w:hAnsi="Courier New"/>
                <w:sz w:val="14"/>
              </w:rPr>
              <w:t>│  ◄── Burdekin irrigation channel (east)                 ──►        │</w:t>
            </w:r>
          </w:p>
          <w:p>
            <w:r>
              <w:rPr>
                <w:rFonts w:ascii="Courier New" w:hAnsi="Courier New"/>
                <w:sz w:val="14"/>
              </w:rPr>
              <w:t>├────────────────────────────────────────────────────────────────────┤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r>
              <w:rPr>
                <w:rFonts w:ascii="Courier New" w:hAnsi="Courier New"/>
                <w:sz w:val="14"/>
              </w:rPr>
              <w:t>│ LEGEND: WB=Weighbridge  PH=Packing Shed  CS=Cool Room  IB=DAFF   │</w:t>
            </w:r>
          </w:p>
          <w:p>
            <w:r>
              <w:rPr>
                <w:rFonts w:ascii="Courier New" w:hAnsi="Courier New"/>
                <w:sz w:val="14"/>
              </w:rPr>
              <w:t>│         AM=Amenities  CH=Chem Store  ╔╗=RE boundary               │</w:t>
            </w:r>
          </w:p>
          <w:p>
            <w:r>
              <w:rPr>
                <w:rFonts w:ascii="Courier New" w:hAnsi="Courier New"/>
                <w:sz w:val="14"/>
              </w:rPr>
              <w:t>└────────────────────────────────────────────────────────────────────┘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/>
    <w:p>
      <w:pPr>
        <w:pStyle w:val="Heading1"/>
        <w:jc w:val="left"/>
      </w:pPr>
      <w:r>
        <w:rPr>
          <w:color w:val="1F497D"/>
        </w:rPr>
        <w:t>7.  DAFF INSPECTION AND SAMPLING AREA</w:t>
      </w:r>
    </w:p>
    <w:p>
      <w:r>
        <w:rPr>
          <w:i/>
          <w:color w:val="444444"/>
          <w:sz w:val="18"/>
        </w:rPr>
        <w:t>Rules s4-2(5) — Inspection areas and facilities for Authorised Officer use</w:t>
      </w:r>
    </w:p>
    <w:p>
      <w:r>
        <w:rPr>
          <w:b w:val="0"/>
          <w:i w:val="0"/>
          <w:sz w:val="20"/>
        </w:rPr>
        <w:t>DAFF Inspection Room (IB) — 6 × 5 m enclosed room, NW corner of packing shed. Dedicated external entry from north vehicle access area.</w:t>
        <w:br/>
        <w:br/>
        <w:t>Fittings: stainless-steel inspection bench 2.4 × 0.8 m; LED lighting 550 lux at bench; handwash basin (hot/cold, soap, paper towels); probe set; sample refrigerator +4°C 60 L; sample bags and export lot labels.</w:t>
      </w:r>
    </w:p>
    <w:p/>
    <w:p>
      <w:pPr>
        <w:pStyle w:val="Heading1"/>
        <w:jc w:val="left"/>
      </w:pPr>
      <w:r>
        <w:rPr>
          <w:color w:val="1F497D"/>
        </w:rPr>
        <w:t>8.  AUTHORISATION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Prepared By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Craig Dunlop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Establishment Manager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March 2025</w:t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Signature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3118"/>
            <w:shd w:val="clear" w:color="auto" w:fill="DCE6F1"/>
            <w:vAlign w:val="center"/>
          </w:tcPr>
          <w:p>
            <w:r>
              <w:rPr>
                <w:b/>
                <w:sz w:val="18"/>
              </w:rPr>
              <w:t>Next Review Date</w:t>
            </w:r>
          </w:p>
        </w:tc>
        <w:tc>
          <w:tcPr>
            <w:tcW w:type="dxa" w:w="6236"/>
            <w:shd w:val="clear" w:color="auto" w:fill="FFFFFF"/>
            <w:vAlign w:val="center"/>
          </w:tcPr>
          <w:p>
            <w:r>
              <w:rPr>
                <w:sz w:val="18"/>
              </w:rPr>
              <w:t>April 2026</w:t>
            </w:r>
          </w:p>
        </w:tc>
      </w:tr>
    </w:tbl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