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Mallee Canola Growers</w:t>
            </w:r>
          </w:p>
        </w:tc>
      </w:tr>
      <w:tr>
        <w:tc>
          <w:tcPr>
            <w:tcW w:type="dxa" w:w="3118"/>
            <w:shd w:val="clear" w:color="auto" w:fill="DCE6F1"/>
            <w:vAlign w:val="center"/>
          </w:tcPr>
          <w:p>
            <w:r>
              <w:rPr>
                <w:b/>
                <w:sz w:val="18"/>
              </w:rPr>
              <w:t>RE Number</w:t>
            </w:r>
          </w:p>
        </w:tc>
        <w:tc>
          <w:tcPr>
            <w:tcW w:type="dxa" w:w="6236"/>
            <w:vAlign w:val="center"/>
          </w:tcPr>
          <w:p>
            <w:r>
              <w:rPr>
                <w:sz w:val="18"/>
              </w:rPr>
              <w:t>RE-VIC-2022-0044</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88 Calder Highway, Sea Lake VIC 3533</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Elise Maurer</w:t>
            </w:r>
          </w:p>
        </w:tc>
      </w:tr>
      <w:tr>
        <w:tc>
          <w:tcPr>
            <w:tcW w:type="dxa" w:w="3118"/>
            <w:shd w:val="clear" w:color="auto" w:fill="DCE6F1"/>
            <w:vAlign w:val="center"/>
          </w:tcPr>
          <w:p>
            <w:r>
              <w:rPr>
                <w:b/>
                <w:sz w:val="18"/>
              </w:rPr>
              <w:t>Property Area</w:t>
            </w:r>
          </w:p>
        </w:tc>
        <w:tc>
          <w:tcPr>
            <w:tcW w:type="dxa" w:w="6236"/>
            <w:vAlign w:val="center"/>
          </w:tcPr>
          <w:p>
            <w:r>
              <w:rPr>
                <w:sz w:val="18"/>
              </w:rPr>
              <w:t>300.0 ha</w:t>
            </w:r>
          </w:p>
        </w:tc>
      </w:tr>
      <w:tr>
        <w:tc>
          <w:tcPr>
            <w:tcW w:type="dxa" w:w="3118"/>
            <w:shd w:val="clear" w:color="auto" w:fill="DCE6F1"/>
            <w:vAlign w:val="center"/>
          </w:tcPr>
          <w:p>
            <w:r>
              <w:rPr>
                <w:b/>
                <w:sz w:val="18"/>
              </w:rPr>
              <w:t>Year Established</w:t>
            </w:r>
          </w:p>
        </w:tc>
        <w:tc>
          <w:tcPr>
            <w:tcW w:type="dxa" w:w="6236"/>
            <w:vAlign w:val="center"/>
          </w:tcPr>
          <w:p>
            <w:r>
              <w:rPr>
                <w:sz w:val="18"/>
              </w:rPr>
              <w:t>2005</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28 March 2024</w:t>
            </w:r>
          </w:p>
        </w:tc>
      </w:tr>
      <w:tr>
        <w:tc>
          <w:tcPr>
            <w:tcW w:type="dxa" w:w="3118"/>
            <w:shd w:val="clear" w:color="auto" w:fill="DCE6F1"/>
            <w:vAlign w:val="center"/>
          </w:tcPr>
          <w:p>
            <w:r>
              <w:rPr>
                <w:b/>
                <w:sz w:val="18"/>
              </w:rPr>
              <w:t>Next Review</w:t>
            </w:r>
          </w:p>
        </w:tc>
        <w:tc>
          <w:tcPr>
            <w:tcW w:type="dxa" w:w="6236"/>
            <w:vAlign w:val="center"/>
          </w:tcPr>
          <w:p>
            <w:r>
              <w:rPr>
                <w:sz w:val="18"/>
              </w:rPr>
              <w:t>28 March 2026</w:t>
            </w:r>
          </w:p>
        </w:tc>
      </w:tr>
    </w:tbl>
    <w:p/>
    <w:p>
      <w:pPr>
        <w:pStyle w:val="Heading1"/>
      </w:pPr>
      <w:r>
        <w:rPr>
          <w:color w:val="1F497D"/>
        </w:rPr>
        <w:t>1.  OVERVIEW</w:t>
      </w:r>
    </w:p>
    <w:p>
      <w:r>
        <w:rPr>
          <w:b w:val="0"/>
          <w:i w:val="0"/>
          <w:sz w:val="20"/>
        </w:rPr>
        <w:t>Mallee Canola Growers is a registered export establishment located at 88 Calder Highway, Sea Lake VIC 3533, VIC. The establishment holds RE Number RE-VIC-2022-0044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LED panel lighting installed 2008: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The receival and processing building is an original structure built circa 2000. Internal walls are rough-finished brick with lime render — surface is porous, absorbing product oils and moisture. The lime render is not compatible with pressure washing (delamination risk). Timber floor boards in the original section have gaps between boards retaining grain. Modern additions (post-2010) have smooth surfaces and are cleanable.</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April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Almonds.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November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VIC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AUTHORIVICTION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Elise Maurer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28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