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Mallee Premium Grains</w:t>
            </w:r>
          </w:p>
        </w:tc>
      </w:tr>
      <w:tr>
        <w:tc>
          <w:tcPr>
            <w:tcW w:type="dxa" w:w="4536"/>
            <w:shd w:val="clear" w:color="auto" w:fill="1F497D"/>
            <w:vAlign w:val="center"/>
          </w:tcPr>
          <w:p>
            <w:r>
              <w:rPr>
                <w:b/>
                <w:color w:val="FFFFFF"/>
                <w:sz w:val="18"/>
              </w:rPr>
              <w:t>RE Number</w:t>
            </w:r>
          </w:p>
        </w:tc>
        <w:tc>
          <w:tcPr>
            <w:tcW w:type="dxa" w:w="4536"/>
          </w:tcPr>
          <w:p>
            <w:r>
              <w:rPr>
                <w:sz w:val="18"/>
              </w:rPr>
              <w:t>RE-VIC-2022-0076</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167 Calder Highway, Mildura VIC 3500</w:t>
            </w:r>
          </w:p>
        </w:tc>
      </w:tr>
      <w:tr>
        <w:tc>
          <w:tcPr>
            <w:tcW w:type="dxa" w:w="4536"/>
            <w:shd w:val="clear" w:color="auto" w:fill="1F497D"/>
            <w:vAlign w:val="center"/>
          </w:tcPr>
          <w:p>
            <w:r>
              <w:rPr>
                <w:b/>
                <w:color w:val="FFFFFF"/>
                <w:sz w:val="18"/>
              </w:rPr>
              <w:t>Registered Commodity</w:t>
            </w:r>
          </w:p>
        </w:tc>
        <w:tc>
          <w:tcPr>
            <w:tcW w:type="dxa" w:w="4536"/>
          </w:tcPr>
          <w:p>
            <w:r>
              <w:rPr>
                <w:sz w:val="18"/>
              </w:rPr>
              <w:t>Sorghum</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Gary Watkins</w:t>
            </w:r>
          </w:p>
        </w:tc>
      </w:tr>
      <w:tr>
        <w:tc>
          <w:tcPr>
            <w:tcW w:type="dxa" w:w="4536"/>
            <w:shd w:val="clear" w:color="auto" w:fill="1F497D"/>
            <w:vAlign w:val="center"/>
          </w:tcPr>
          <w:p>
            <w:r>
              <w:rPr>
                <w:b/>
                <w:color w:val="FFFFFF"/>
                <w:sz w:val="18"/>
              </w:rPr>
              <w:t>Property Area</w:t>
            </w:r>
          </w:p>
        </w:tc>
        <w:tc>
          <w:tcPr>
            <w:tcW w:type="dxa" w:w="4536"/>
          </w:tcPr>
          <w:p>
            <w:r>
              <w:rPr>
                <w:sz w:val="18"/>
              </w:rPr>
              <w:t>1850.0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25 February 2025</w:t>
            </w:r>
          </w:p>
        </w:tc>
      </w:tr>
      <w:tr>
        <w:tc>
          <w:tcPr>
            <w:tcW w:type="dxa" w:w="4536"/>
            <w:shd w:val="clear" w:color="auto" w:fill="1F497D"/>
            <w:vAlign w:val="center"/>
          </w:tcPr>
          <w:p>
            <w:r>
              <w:rPr>
                <w:b/>
                <w:color w:val="FFFFFF"/>
                <w:sz w:val="18"/>
              </w:rPr>
              <w:t>Next Review</w:t>
            </w:r>
          </w:p>
        </w:tc>
        <w:tc>
          <w:tcPr>
            <w:tcW w:type="dxa" w:w="4536"/>
          </w:tcPr>
          <w:p>
            <w:r>
              <w:rPr>
                <w:sz w:val="18"/>
              </w:rPr>
              <w:t>25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Mallee Premium Grains used in grain handling and storage operations for export Sorghum.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Sorghum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Gary Watkins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Mallee Premium Grains completed on 25 February 2025. All areas assessed as compliant with the hygiene standards required for the export of Sorghum.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Gary Watkins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25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25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