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Kerang Grain and Pulse</w:t>
            </w:r>
          </w:p>
        </w:tc>
      </w:tr>
      <w:tr>
        <w:tc>
          <w:tcPr>
            <w:tcW w:type="dxa" w:w="3118"/>
            <w:shd w:val="clear" w:color="auto" w:fill="DCE6F1"/>
            <w:vAlign w:val="center"/>
          </w:tcPr>
          <w:p>
            <w:r>
              <w:rPr>
                <w:b/>
                <w:sz w:val="18"/>
              </w:rPr>
              <w:t>RE Number</w:t>
            </w:r>
          </w:p>
        </w:tc>
        <w:tc>
          <w:tcPr>
            <w:tcW w:type="dxa" w:w="6236"/>
            <w:vAlign w:val="center"/>
          </w:tcPr>
          <w:p>
            <w:r>
              <w:rPr>
                <w:sz w:val="18"/>
              </w:rPr>
              <w:t>RE-VIC-2022-0100</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75 Murray Valley Highway, Kerang VIC 3579</w:t>
            </w:r>
          </w:p>
        </w:tc>
      </w:tr>
      <w:tr>
        <w:tc>
          <w:tcPr>
            <w:tcW w:type="dxa" w:w="3118"/>
            <w:shd w:val="clear" w:color="auto" w:fill="DCE6F1"/>
            <w:vAlign w:val="center"/>
          </w:tcPr>
          <w:p>
            <w:r>
              <w:rPr>
                <w:b/>
                <w:sz w:val="18"/>
              </w:rPr>
              <w:t>Registered Commodity</w:t>
            </w:r>
          </w:p>
        </w:tc>
        <w:tc>
          <w:tcPr>
            <w:tcW w:type="dxa" w:w="6236"/>
            <w:vAlign w:val="center"/>
          </w:tcPr>
          <w:p>
            <w:r>
              <w:rPr>
                <w:sz w:val="18"/>
              </w:rPr>
              <w:t>Chickpeas</w:t>
            </w:r>
          </w:p>
        </w:tc>
      </w:tr>
      <w:tr>
        <w:tc>
          <w:tcPr>
            <w:tcW w:type="dxa" w:w="3118"/>
            <w:shd w:val="clear" w:color="auto" w:fill="DCE6F1"/>
            <w:vAlign w:val="center"/>
          </w:tcPr>
          <w:p>
            <w:r>
              <w:rPr>
                <w:b/>
                <w:sz w:val="18"/>
              </w:rPr>
              <w:t>Responsible Officer</w:t>
            </w:r>
          </w:p>
        </w:tc>
        <w:tc>
          <w:tcPr>
            <w:tcW w:type="dxa" w:w="6236"/>
            <w:vAlign w:val="center"/>
          </w:tcPr>
          <w:p>
            <w:r>
              <w:rPr>
                <w:sz w:val="18"/>
              </w:rPr>
              <w:t>Elaine Summers</w:t>
            </w:r>
          </w:p>
        </w:tc>
      </w:tr>
      <w:tr>
        <w:tc>
          <w:tcPr>
            <w:tcW w:type="dxa" w:w="3118"/>
            <w:shd w:val="clear" w:color="auto" w:fill="DCE6F1"/>
            <w:vAlign w:val="center"/>
          </w:tcPr>
          <w:p>
            <w:r>
              <w:rPr>
                <w:b/>
                <w:sz w:val="18"/>
              </w:rPr>
              <w:t>Property Area</w:t>
            </w:r>
          </w:p>
        </w:tc>
        <w:tc>
          <w:tcPr>
            <w:tcW w:type="dxa" w:w="6236"/>
            <w:vAlign w:val="center"/>
          </w:tcPr>
          <w:p>
            <w:r>
              <w:rPr>
                <w:sz w:val="18"/>
              </w:rPr>
              <w:t>160.0 ha</w:t>
            </w:r>
          </w:p>
        </w:tc>
      </w:tr>
      <w:tr>
        <w:tc>
          <w:tcPr>
            <w:tcW w:type="dxa" w:w="3118"/>
            <w:shd w:val="clear" w:color="auto" w:fill="DCE6F1"/>
            <w:vAlign w:val="center"/>
          </w:tcPr>
          <w:p>
            <w:r>
              <w:rPr>
                <w:b/>
                <w:sz w:val="18"/>
              </w:rPr>
              <w:t>Year Established</w:t>
            </w:r>
          </w:p>
        </w:tc>
        <w:tc>
          <w:tcPr>
            <w:tcW w:type="dxa" w:w="6236"/>
            <w:vAlign w:val="center"/>
          </w:tcPr>
          <w:p>
            <w:r>
              <w:rPr>
                <w:sz w:val="18"/>
              </w:rPr>
              <w:t>2015</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10 March 2024</w:t>
            </w:r>
          </w:p>
        </w:tc>
      </w:tr>
      <w:tr>
        <w:tc>
          <w:tcPr>
            <w:tcW w:type="dxa" w:w="3118"/>
            <w:shd w:val="clear" w:color="auto" w:fill="DCE6F1"/>
            <w:vAlign w:val="center"/>
          </w:tcPr>
          <w:p>
            <w:r>
              <w:rPr>
                <w:b/>
                <w:sz w:val="18"/>
              </w:rPr>
              <w:t>Next Review</w:t>
            </w:r>
          </w:p>
        </w:tc>
        <w:tc>
          <w:tcPr>
            <w:tcW w:type="dxa" w:w="6236"/>
            <w:vAlign w:val="center"/>
          </w:tcPr>
          <w:p>
            <w:r>
              <w:rPr>
                <w:sz w:val="18"/>
              </w:rPr>
              <w:t>10 March 2026</w:t>
            </w:r>
          </w:p>
        </w:tc>
      </w:tr>
    </w:tbl>
    <w:p/>
    <w:p>
      <w:pPr>
        <w:pStyle w:val="Heading1"/>
      </w:pPr>
      <w:r>
        <w:rPr>
          <w:color w:val="1F497D"/>
        </w:rPr>
        <w:t>1.  OVERVIEW</w:t>
      </w:r>
    </w:p>
    <w:p>
      <w:r>
        <w:rPr>
          <w:b w:val="0"/>
          <w:i w:val="0"/>
          <w:sz w:val="20"/>
        </w:rPr>
        <w:t>Kerang Grain and Pulse is a registered export establishment located at 75 Murray Valley Highway, Kerang VIC 3579, VIC. The establishment holds RE Number RE-VIC-2022-0100 and is registered to handle and export Chickpeas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Chickpeas.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The Establishment Operations Manual (v2.1, 2017) includes a housekeeping section (Section 7.3 — 'General Tidiness and Waste'). This section describes the general expectation that waste be removed regularly and floors kept clear, but does not specify waste streams, scheduled tasks, responsible positions, record-keeping requirements or disposal methods.</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March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Elaine Summers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10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