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Murray Almond Packers</w:t>
            </w:r>
          </w:p>
        </w:tc>
      </w:tr>
      <w:tr>
        <w:tc>
          <w:tcPr>
            <w:tcW w:type="dxa" w:w="3118"/>
            <w:shd w:val="clear" w:color="auto" w:fill="DCE6F1"/>
            <w:vAlign w:val="center"/>
          </w:tcPr>
          <w:p>
            <w:r>
              <w:rPr>
                <w:b/>
                <w:sz w:val="18"/>
              </w:rPr>
              <w:t>RE Number</w:t>
            </w:r>
          </w:p>
        </w:tc>
        <w:tc>
          <w:tcPr>
            <w:tcW w:type="dxa" w:w="6236"/>
            <w:vAlign w:val="center"/>
          </w:tcPr>
          <w:p>
            <w:r>
              <w:rPr>
                <w:sz w:val="18"/>
              </w:rPr>
              <w:t>RE-VIC-2022-0122</w:t>
            </w:r>
          </w:p>
        </w:tc>
      </w:tr>
      <w:tr>
        <w:tc>
          <w:tcPr>
            <w:tcW w:type="dxa" w:w="3118"/>
            <w:shd w:val="clear" w:color="auto" w:fill="DCE6F1"/>
            <w:vAlign w:val="center"/>
          </w:tcPr>
          <w:p>
            <w:r>
              <w:rPr>
                <w:b/>
                <w:sz w:val="18"/>
              </w:rPr>
              <w:t>State / Territory</w:t>
            </w:r>
          </w:p>
        </w:tc>
        <w:tc>
          <w:tcPr>
            <w:tcW w:type="dxa" w:w="6236"/>
            <w:vAlign w:val="center"/>
          </w:tcPr>
          <w:p>
            <w:r>
              <w:rPr>
                <w:sz w:val="18"/>
              </w:rPr>
              <w:t>VIC</w:t>
            </w:r>
          </w:p>
        </w:tc>
      </w:tr>
      <w:tr>
        <w:tc>
          <w:tcPr>
            <w:tcW w:type="dxa" w:w="3118"/>
            <w:shd w:val="clear" w:color="auto" w:fill="DCE6F1"/>
            <w:vAlign w:val="center"/>
          </w:tcPr>
          <w:p>
            <w:r>
              <w:rPr>
                <w:b/>
                <w:sz w:val="18"/>
              </w:rPr>
              <w:t>Property Address</w:t>
            </w:r>
          </w:p>
        </w:tc>
        <w:tc>
          <w:tcPr>
            <w:tcW w:type="dxa" w:w="6236"/>
            <w:vAlign w:val="center"/>
          </w:tcPr>
          <w:p>
            <w:r>
              <w:rPr>
                <w:sz w:val="18"/>
              </w:rPr>
              <w:t>78 Murray Valley Highway, Robinvale VIC 3549</w:t>
            </w:r>
          </w:p>
        </w:tc>
      </w:tr>
      <w:tr>
        <w:tc>
          <w:tcPr>
            <w:tcW w:type="dxa" w:w="3118"/>
            <w:shd w:val="clear" w:color="auto" w:fill="DCE6F1"/>
            <w:vAlign w:val="center"/>
          </w:tcPr>
          <w:p>
            <w:r>
              <w:rPr>
                <w:b/>
                <w:sz w:val="18"/>
              </w:rPr>
              <w:t>Registered Commodity</w:t>
            </w:r>
          </w:p>
        </w:tc>
        <w:tc>
          <w:tcPr>
            <w:tcW w:type="dxa" w:w="6236"/>
            <w:vAlign w:val="center"/>
          </w:tcPr>
          <w:p>
            <w:r>
              <w:rPr>
                <w:sz w:val="18"/>
              </w:rPr>
              <w:t>Macadamias</w:t>
            </w:r>
          </w:p>
        </w:tc>
      </w:tr>
      <w:tr>
        <w:tc>
          <w:tcPr>
            <w:tcW w:type="dxa" w:w="3118"/>
            <w:shd w:val="clear" w:color="auto" w:fill="DCE6F1"/>
            <w:vAlign w:val="center"/>
          </w:tcPr>
          <w:p>
            <w:r>
              <w:rPr>
                <w:b/>
                <w:sz w:val="18"/>
              </w:rPr>
              <w:t>Responsible Officer</w:t>
            </w:r>
          </w:p>
        </w:tc>
        <w:tc>
          <w:tcPr>
            <w:tcW w:type="dxa" w:w="6236"/>
            <w:vAlign w:val="center"/>
          </w:tcPr>
          <w:p>
            <w:r>
              <w:rPr>
                <w:sz w:val="18"/>
              </w:rPr>
              <w:t>Jane Pappas</w:t>
            </w:r>
          </w:p>
        </w:tc>
      </w:tr>
      <w:tr>
        <w:tc>
          <w:tcPr>
            <w:tcW w:type="dxa" w:w="3118"/>
            <w:shd w:val="clear" w:color="auto" w:fill="DCE6F1"/>
            <w:vAlign w:val="center"/>
          </w:tcPr>
          <w:p>
            <w:r>
              <w:rPr>
                <w:b/>
                <w:sz w:val="18"/>
              </w:rPr>
              <w:t>Property Area</w:t>
            </w:r>
          </w:p>
        </w:tc>
        <w:tc>
          <w:tcPr>
            <w:tcW w:type="dxa" w:w="6236"/>
            <w:vAlign w:val="center"/>
          </w:tcPr>
          <w:p>
            <w:r>
              <w:rPr>
                <w:sz w:val="18"/>
              </w:rPr>
              <w:t>145.0 ha</w:t>
            </w:r>
          </w:p>
        </w:tc>
      </w:tr>
      <w:tr>
        <w:tc>
          <w:tcPr>
            <w:tcW w:type="dxa" w:w="3118"/>
            <w:shd w:val="clear" w:color="auto" w:fill="DCE6F1"/>
            <w:vAlign w:val="center"/>
          </w:tcPr>
          <w:p>
            <w:r>
              <w:rPr>
                <w:b/>
                <w:sz w:val="18"/>
              </w:rPr>
              <w:t>Year Established</w:t>
            </w:r>
          </w:p>
        </w:tc>
        <w:tc>
          <w:tcPr>
            <w:tcW w:type="dxa" w:w="6236"/>
            <w:vAlign w:val="center"/>
          </w:tcPr>
          <w:p>
            <w:r>
              <w:rPr>
                <w:sz w:val="18"/>
              </w:rPr>
              <w:t>2019</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22 August 2024</w:t>
            </w:r>
          </w:p>
        </w:tc>
      </w:tr>
      <w:tr>
        <w:tc>
          <w:tcPr>
            <w:tcW w:type="dxa" w:w="3118"/>
            <w:shd w:val="clear" w:color="auto" w:fill="DCE6F1"/>
            <w:vAlign w:val="center"/>
          </w:tcPr>
          <w:p>
            <w:r>
              <w:rPr>
                <w:b/>
                <w:sz w:val="18"/>
              </w:rPr>
              <w:t>Next Review</w:t>
            </w:r>
          </w:p>
        </w:tc>
        <w:tc>
          <w:tcPr>
            <w:tcW w:type="dxa" w:w="6236"/>
            <w:vAlign w:val="center"/>
          </w:tcPr>
          <w:p>
            <w:r>
              <w:rPr>
                <w:sz w:val="18"/>
              </w:rPr>
              <w:t>22 August 2026</w:t>
            </w:r>
          </w:p>
        </w:tc>
      </w:tr>
    </w:tbl>
    <w:p/>
    <w:p>
      <w:pPr>
        <w:pStyle w:val="Heading1"/>
      </w:pPr>
      <w:r>
        <w:rPr>
          <w:color w:val="1F497D"/>
        </w:rPr>
        <w:t>1.  OVERVIEW</w:t>
      </w:r>
    </w:p>
    <w:p>
      <w:r>
        <w:rPr>
          <w:b w:val="0"/>
          <w:i w:val="0"/>
          <w:sz w:val="20"/>
        </w:rPr>
        <w:t>Murray Almond Packers is a registered export establishment located at 78 Murray Valley Highway, Robinvale VIC 3549, VIC. The establishment holds RE Number RE-VIC-2022-0122 and is registered to handle and export Macadamias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Nut Processing Hall</w:t>
            </w:r>
          </w:p>
        </w:tc>
        <w:tc>
          <w:tcPr>
            <w:tcW w:type="dxa" w:w="1587"/>
            <w:shd w:val="clear" w:color="auto" w:fill="FFFFFF"/>
            <w:vAlign w:val="center"/>
          </w:tcPr>
          <w:p>
            <w:r>
              <w:rPr>
                <w:sz w:val="18"/>
              </w:rPr>
              <w:t>32×20 m</w:t>
            </w:r>
          </w:p>
        </w:tc>
        <w:tc>
          <w:tcPr>
            <w:tcW w:type="dxa" w:w="1984"/>
            <w:shd w:val="clear" w:color="auto" w:fill="FFFFFF"/>
            <w:vAlign w:val="center"/>
          </w:tcPr>
          <w:p>
            <w:r>
              <w:rPr>
                <w:sz w:val="18"/>
              </w:rPr>
              <w:t>Steel portal, smooth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HS</w:t>
            </w:r>
          </w:p>
        </w:tc>
        <w:tc>
          <w:tcPr>
            <w:tcW w:type="dxa" w:w="3118"/>
            <w:shd w:val="clear" w:color="auto" w:fill="F2F2F2"/>
            <w:vAlign w:val="center"/>
          </w:tcPr>
          <w:p>
            <w:r>
              <w:rPr>
                <w:sz w:val="18"/>
              </w:rPr>
              <w:t>Processing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Steel, concrete floor</w:t>
            </w:r>
          </w:p>
        </w:tc>
        <w:tc>
          <w:tcPr>
            <w:tcW w:type="dxa" w:w="2381"/>
            <w:shd w:val="clear" w:color="auto" w:fill="F2F2F2"/>
            <w:vAlign w:val="center"/>
          </w:tcPr>
          <w:p>
            <w:r>
              <w:rPr>
                <w:sz w:val="18"/>
              </w:rPr>
              <w:t>North of PH</w:t>
            </w:r>
          </w:p>
        </w:tc>
      </w:tr>
      <w:tr>
        <w:tc>
          <w:tcPr>
            <w:tcW w:type="dxa" w:w="850"/>
            <w:shd w:val="clear" w:color="auto" w:fill="FFFFFF"/>
            <w:vAlign w:val="center"/>
          </w:tcPr>
          <w:p>
            <w:r>
              <w:rPr>
                <w:sz w:val="18"/>
              </w:rPr>
              <w:t>CS</w:t>
            </w:r>
          </w:p>
        </w:tc>
        <w:tc>
          <w:tcPr>
            <w:tcW w:type="dxa" w:w="3118"/>
            <w:shd w:val="clear" w:color="auto" w:fill="FFFFFF"/>
            <w:vAlign w:val="center"/>
          </w:tcPr>
          <w:p>
            <w:r>
              <w:rPr>
                <w:sz w:val="18"/>
              </w:rPr>
              <w:t>Cold Store</w:t>
            </w:r>
          </w:p>
        </w:tc>
        <w:tc>
          <w:tcPr>
            <w:tcW w:type="dxa" w:w="1587"/>
            <w:shd w:val="clear" w:color="auto" w:fill="FFFFFF"/>
            <w:vAlign w:val="center"/>
          </w:tcPr>
          <w:p>
            <w:r>
              <w:rPr>
                <w:sz w:val="18"/>
              </w:rPr>
              <w:t>14×12 m</w:t>
            </w:r>
          </w:p>
        </w:tc>
        <w:tc>
          <w:tcPr>
            <w:tcW w:type="dxa" w:w="1984"/>
            <w:shd w:val="clear" w:color="auto" w:fill="FFFFFF"/>
            <w:vAlign w:val="center"/>
          </w:tcPr>
          <w:p>
            <w:r>
              <w:rPr>
                <w:sz w:val="18"/>
              </w:rPr>
              <w:t>Insulated panel, ammonia refrigeration</w:t>
            </w:r>
          </w:p>
        </w:tc>
        <w:tc>
          <w:tcPr>
            <w:tcW w:type="dxa" w:w="2381"/>
            <w:shd w:val="clear" w:color="auto" w:fill="FFFFFF"/>
            <w:vAlign w:val="center"/>
          </w:tcPr>
          <w:p>
            <w:r>
              <w:rPr>
                <w:sz w:val="18"/>
              </w:rPr>
              <w:t>East of PH</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PH</w:t>
            </w:r>
          </w:p>
        </w:tc>
        <w:tc>
          <w:tcPr>
            <w:tcW w:type="dxa" w:w="2381"/>
            <w:shd w:val="clear" w:color="auto" w:fill="F2F2F2"/>
            <w:vAlign w:val="center"/>
          </w:tcPr>
          <w:p>
            <w:r>
              <w:rPr>
                <w:sz w:val="18"/>
              </w:rPr>
              <w:t>PH east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Hulling and shelling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processing</w:t>
            </w:r>
          </w:p>
        </w:tc>
      </w:tr>
      <w:tr>
        <w:tc>
          <w:tcPr>
            <w:tcW w:type="dxa" w:w="3685"/>
            <w:shd w:val="clear" w:color="auto" w:fill="F2F2F2"/>
            <w:vAlign w:val="center"/>
          </w:tcPr>
          <w:p>
            <w:r>
              <w:rPr>
                <w:sz w:val="18"/>
              </w:rPr>
              <w:t>Optical colour sorter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Quality grading</w:t>
            </w:r>
          </w:p>
        </w:tc>
      </w:tr>
      <w:tr>
        <w:tc>
          <w:tcPr>
            <w:tcW w:type="dxa" w:w="3685"/>
            <w:shd w:val="clear" w:color="auto" w:fill="FFFFFF"/>
            <w:vAlign w:val="center"/>
          </w:tcPr>
          <w:p>
            <w:r>
              <w:rPr>
                <w:sz w:val="18"/>
              </w:rPr>
              <w:t>Semi-automatic pack line</w:t>
            </w:r>
          </w:p>
        </w:tc>
        <w:tc>
          <w:tcPr>
            <w:tcW w:type="dxa" w:w="1984"/>
            <w:shd w:val="clear" w:color="auto" w:fill="FFFFFF"/>
            <w:vAlign w:val="center"/>
          </w:tcPr>
          <w:p>
            <w:r>
              <w:rPr>
                <w:sz w:val="18"/>
              </w:rPr>
              <w:t>2 lanes</w:t>
            </w:r>
          </w:p>
        </w:tc>
        <w:tc>
          <w:tcPr>
            <w:tcW w:type="dxa" w:w="4252"/>
            <w:shd w:val="clear" w:color="auto" w:fill="FFFFFF"/>
            <w:vAlign w:val="center"/>
          </w:tcPr>
          <w:p>
            <w:r>
              <w:rPr>
                <w:sz w:val="18"/>
              </w:rPr>
              <w:t>Consumer and bulk packing</w:t>
            </w:r>
          </w:p>
        </w:tc>
      </w:tr>
      <w:tr>
        <w:tc>
          <w:tcPr>
            <w:tcW w:type="dxa" w:w="3685"/>
            <w:shd w:val="clear" w:color="auto" w:fill="F2F2F2"/>
            <w:vAlign w:val="center"/>
          </w:tcPr>
          <w:p>
            <w:r>
              <w:rPr>
                <w:sz w:val="18"/>
              </w:rPr>
              <w:t>Metal detector</w:t>
            </w:r>
          </w:p>
        </w:tc>
        <w:tc>
          <w:tcPr>
            <w:tcW w:type="dxa" w:w="1984"/>
            <w:shd w:val="clear" w:color="auto" w:fill="F2F2F2"/>
            <w:vAlign w:val="center"/>
          </w:tcPr>
          <w:p>
            <w:r>
              <w:rPr>
                <w:sz w:val="18"/>
              </w:rPr>
              <w:t>CCP inline</w:t>
            </w:r>
          </w:p>
        </w:tc>
        <w:tc>
          <w:tcPr>
            <w:tcW w:type="dxa" w:w="4252"/>
            <w:shd w:val="clear" w:color="auto" w:fill="F2F2F2"/>
            <w:vAlign w:val="center"/>
          </w:tcPr>
          <w:p>
            <w:r>
              <w:rPr>
                <w:sz w:val="18"/>
              </w:rPr>
              <w:t>Export food safety</w:t>
            </w:r>
          </w:p>
        </w:tc>
      </w:tr>
      <w:tr>
        <w:tc>
          <w:tcPr>
            <w:tcW w:type="dxa" w:w="3685"/>
            <w:shd w:val="clear" w:color="auto" w:fill="FFFFFF"/>
            <w:vAlign w:val="center"/>
          </w:tcPr>
          <w:p>
            <w:r>
              <w:rPr>
                <w:sz w:val="18"/>
              </w:rPr>
              <w:t>Moisture/aflatoxin analyser</w:t>
            </w:r>
          </w:p>
        </w:tc>
        <w:tc>
          <w:tcPr>
            <w:tcW w:type="dxa" w:w="1984"/>
            <w:shd w:val="clear" w:color="auto" w:fill="FFFFFF"/>
            <w:vAlign w:val="center"/>
          </w:tcPr>
          <w:p>
            <w:r>
              <w:rPr>
                <w:sz w:val="18"/>
              </w:rPr>
              <w:t>In-line</w:t>
            </w:r>
          </w:p>
        </w:tc>
        <w:tc>
          <w:tcPr>
            <w:tcW w:type="dxa" w:w="4252"/>
            <w:shd w:val="clear" w:color="auto" w:fill="FFFFFF"/>
            <w:vAlign w:val="center"/>
          </w:tcPr>
          <w:p>
            <w:r>
              <w:rPr>
                <w:sz w:val="18"/>
              </w:rPr>
              <w:t>Quality and safety testing</w:t>
            </w:r>
          </w:p>
        </w:tc>
      </w:tr>
      <w:tr>
        <w:tc>
          <w:tcPr>
            <w:tcW w:type="dxa" w:w="3685"/>
            <w:shd w:val="clear" w:color="auto" w:fill="F2F2F2"/>
            <w:vAlign w:val="center"/>
          </w:tcPr>
          <w:p>
            <w:r>
              <w:rPr>
                <w:sz w:val="18"/>
              </w:rPr>
              <w:t>Pallet stretch wrapper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palletising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Macadamias.</w:t>
      </w:r>
    </w:p>
    <w:p>
      <w:pPr>
        <w:pStyle w:val="Heading2"/>
      </w:pPr>
      <w:r>
        <w:t>4.2  Lighting (C2)</w:t>
      </w:r>
    </w:p>
    <w:p>
      <w:r>
        <w:rPr>
          <w:b w:val="0"/>
          <w:i w:val="0"/>
          <w:sz w:val="20"/>
        </w:rPr>
        <w:t>LED high-bay luminaires throughout: 450 lux processing, 360 lux storage, 342 lux load-out. All levels comply with AS/NZS 1680.2.1. Photocell-activated perimeter lighting for after-hours vehicle movements.</w:t>
      </w:r>
    </w:p>
    <w:p>
      <w:pPr>
        <w:pStyle w:val="Heading2"/>
      </w:pPr>
      <w:r>
        <w:t>4.3  Handwashing and Toilet Facilities (C3)</w:t>
      </w:r>
    </w:p>
    <w:p>
      <w:r>
        <w:rPr>
          <w:b w:val="0"/>
          <w:i w:val="0"/>
          <w:sz w:val="20"/>
        </w:rPr>
        <w:t>An amenities block with toilet and hand basin is located adjacent to the main entry (25 m from packing hall), with soap and paper towels. No handwashing basin is provided at the packing line entry or within the production floor itself — the single amenities hand basin serves all handwashing needs for processing staff.</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(1500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(WMP-1901 Rev 2):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Hull and shell waste</w:t>
            </w:r>
          </w:p>
        </w:tc>
        <w:tc>
          <w:tcPr>
            <w:tcW w:type="dxa" w:w="4252"/>
            <w:shd w:val="clear" w:color="auto" w:fill="FFFFFF"/>
            <w:vAlign w:val="center"/>
          </w:tcPr>
          <w:p>
            <w:r>
              <w:rPr>
                <w:sz w:val="18"/>
              </w:rPr>
              <w:t>Collection pit under processor → covered external stockpile</w:t>
            </w:r>
          </w:p>
        </w:tc>
        <w:tc>
          <w:tcPr>
            <w:tcW w:type="dxa" w:w="2835"/>
            <w:shd w:val="clear" w:color="auto" w:fill="FFFFFF"/>
            <w:vAlign w:val="center"/>
          </w:tcPr>
          <w:p>
            <w:r>
              <w:rPr>
                <w:sz w:val="18"/>
              </w:rPr>
              <w:t>Daily bobcat removal</w:t>
            </w:r>
          </w:p>
        </w:tc>
      </w:tr>
      <w:tr>
        <w:tc>
          <w:tcPr>
            <w:tcW w:type="dxa" w:w="2835"/>
            <w:shd w:val="clear" w:color="auto" w:fill="F2F2F2"/>
            <w:vAlign w:val="center"/>
          </w:tcPr>
          <w:p>
            <w:r>
              <w:rPr>
                <w:sz w:val="18"/>
              </w:rPr>
              <w:t>Nut dust and fines</w:t>
            </w:r>
          </w:p>
        </w:tc>
        <w:tc>
          <w:tcPr>
            <w:tcW w:type="dxa" w:w="4252"/>
            <w:shd w:val="clear" w:color="auto" w:fill="F2F2F2"/>
            <w:vAlign w:val="center"/>
          </w:tcPr>
          <w:p>
            <w:r>
              <w:rPr>
                <w:sz w:val="18"/>
              </w:rPr>
              <w:t>Bag filter on processing line</w:t>
            </w:r>
          </w:p>
        </w:tc>
        <w:tc>
          <w:tcPr>
            <w:tcW w:type="dxa" w:w="2835"/>
            <w:shd w:val="clear" w:color="auto" w:fill="F2F2F2"/>
            <w:vAlign w:val="center"/>
          </w:tcPr>
          <w:p>
            <w:r>
              <w:rPr>
                <w:sz w:val="18"/>
              </w:rPr>
              <w:t>Weekly bag change</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Baler/compactor</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macadamias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Jane Pappas</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22 August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