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Sundown Grain Services</w:t>
            </w:r>
          </w:p>
        </w:tc>
      </w:tr>
      <w:tr>
        <w:tc>
          <w:tcPr>
            <w:tcW w:type="dxa" w:w="3118"/>
            <w:shd w:val="clear" w:color="auto" w:fill="DCE6F1"/>
            <w:vAlign w:val="center"/>
          </w:tcPr>
          <w:p>
            <w:r>
              <w:rPr>
                <w:b/>
                <w:sz w:val="18"/>
              </w:rPr>
              <w:t>RE Number</w:t>
            </w:r>
          </w:p>
        </w:tc>
        <w:tc>
          <w:tcPr>
            <w:tcW w:type="dxa" w:w="6236"/>
            <w:vAlign w:val="center"/>
          </w:tcPr>
          <w:p>
            <w:r>
              <w:rPr>
                <w:sz w:val="18"/>
              </w:rPr>
              <w:t>RE-VIC-2022-0157</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76 Sunraysia Highway, Dimboola VIC 3414</w:t>
            </w:r>
          </w:p>
        </w:tc>
      </w:tr>
      <w:tr>
        <w:tc>
          <w:tcPr>
            <w:tcW w:type="dxa" w:w="3118"/>
            <w:shd w:val="clear" w:color="auto" w:fill="DCE6F1"/>
            <w:vAlign w:val="center"/>
          </w:tcPr>
          <w:p>
            <w:r>
              <w:rPr>
                <w:b/>
                <w:sz w:val="18"/>
              </w:rPr>
              <w:t>Registered Commodity</w:t>
            </w:r>
          </w:p>
        </w:tc>
        <w:tc>
          <w:tcPr>
            <w:tcW w:type="dxa" w:w="6236"/>
            <w:vAlign w:val="center"/>
          </w:tcPr>
          <w:p>
            <w:r>
              <w:rPr>
                <w:sz w:val="18"/>
              </w:rPr>
              <w:t>Canola</w:t>
            </w:r>
          </w:p>
        </w:tc>
      </w:tr>
      <w:tr>
        <w:tc>
          <w:tcPr>
            <w:tcW w:type="dxa" w:w="3118"/>
            <w:shd w:val="clear" w:color="auto" w:fill="DCE6F1"/>
            <w:vAlign w:val="center"/>
          </w:tcPr>
          <w:p>
            <w:r>
              <w:rPr>
                <w:b/>
                <w:sz w:val="18"/>
              </w:rPr>
              <w:t>Responsible Officer</w:t>
            </w:r>
          </w:p>
        </w:tc>
        <w:tc>
          <w:tcPr>
            <w:tcW w:type="dxa" w:w="6236"/>
            <w:vAlign w:val="center"/>
          </w:tcPr>
          <w:p>
            <w:r>
              <w:rPr>
                <w:sz w:val="18"/>
              </w:rPr>
              <w:t>Bruce Nilsson</w:t>
            </w:r>
          </w:p>
        </w:tc>
      </w:tr>
      <w:tr>
        <w:tc>
          <w:tcPr>
            <w:tcW w:type="dxa" w:w="3118"/>
            <w:shd w:val="clear" w:color="auto" w:fill="DCE6F1"/>
            <w:vAlign w:val="center"/>
          </w:tcPr>
          <w:p>
            <w:r>
              <w:rPr>
                <w:b/>
                <w:sz w:val="18"/>
              </w:rPr>
              <w:t>Property Area</w:t>
            </w:r>
          </w:p>
        </w:tc>
        <w:tc>
          <w:tcPr>
            <w:tcW w:type="dxa" w:w="6236"/>
            <w:vAlign w:val="center"/>
          </w:tcPr>
          <w:p>
            <w:r>
              <w:rPr>
                <w:sz w:val="18"/>
              </w:rPr>
              <w:t>1700.0 ha</w:t>
            </w:r>
          </w:p>
        </w:tc>
      </w:tr>
      <w:tr>
        <w:tc>
          <w:tcPr>
            <w:tcW w:type="dxa" w:w="3118"/>
            <w:shd w:val="clear" w:color="auto" w:fill="DCE6F1"/>
            <w:vAlign w:val="center"/>
          </w:tcPr>
          <w:p>
            <w:r>
              <w:rPr>
                <w:b/>
                <w:sz w:val="18"/>
              </w:rPr>
              <w:t>Year Established</w:t>
            </w:r>
          </w:p>
        </w:tc>
        <w:tc>
          <w:tcPr>
            <w:tcW w:type="dxa" w:w="6236"/>
            <w:vAlign w:val="center"/>
          </w:tcPr>
          <w:p>
            <w:r>
              <w:rPr>
                <w:sz w:val="18"/>
              </w:rPr>
              <w:t>2018</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6 April 2024</w:t>
            </w:r>
          </w:p>
        </w:tc>
      </w:tr>
      <w:tr>
        <w:tc>
          <w:tcPr>
            <w:tcW w:type="dxa" w:w="3118"/>
            <w:shd w:val="clear" w:color="auto" w:fill="DCE6F1"/>
            <w:vAlign w:val="center"/>
          </w:tcPr>
          <w:p>
            <w:r>
              <w:rPr>
                <w:b/>
                <w:sz w:val="18"/>
              </w:rPr>
              <w:t>Next Review</w:t>
            </w:r>
          </w:p>
        </w:tc>
        <w:tc>
          <w:tcPr>
            <w:tcW w:type="dxa" w:w="6236"/>
            <w:vAlign w:val="center"/>
          </w:tcPr>
          <w:p>
            <w:r>
              <w:rPr>
                <w:sz w:val="18"/>
              </w:rPr>
              <w:t>6 April 2026</w:t>
            </w:r>
          </w:p>
        </w:tc>
      </w:tr>
    </w:tbl>
    <w:p/>
    <w:p>
      <w:pPr>
        <w:pStyle w:val="Heading1"/>
      </w:pPr>
      <w:r>
        <w:rPr>
          <w:color w:val="1F497D"/>
        </w:rPr>
        <w:t>1.  OVERVIEW</w:t>
      </w:r>
    </w:p>
    <w:p>
      <w:r>
        <w:rPr>
          <w:b w:val="0"/>
          <w:i w:val="0"/>
          <w:sz w:val="20"/>
        </w:rPr>
        <w:t>Sundown Grain Services is a registered export establishment located at 76 Sunraysia Highway, Dimboola VIC 3414, VIC. The establishment holds RE Number RE-VIC-2022-0157 and is registered to handle and export Canola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Canola.</w:t>
      </w:r>
    </w:p>
    <w:p>
      <w:pPr>
        <w:pStyle w:val="Heading2"/>
      </w:pPr>
      <w:r>
        <w:t>4.2  Lighting (C2)</w:t>
      </w:r>
    </w:p>
    <w:p>
      <w:r>
        <w:rPr>
          <w:b w:val="0"/>
          <w:i w:val="0"/>
          <w:sz w:val="20"/>
        </w:rPr>
        <w:t>LED panel lighting installed 2018: 550 lux (processing), 440 lux (storage), 418 lux (load-out). IP65-rated food-grade fittings. Annual lux-level verification by licensed electrician.</w:t>
      </w:r>
    </w:p>
    <w:p>
      <w:pPr>
        <w:pStyle w:val="Heading2"/>
      </w:pPr>
      <w:r>
        <w:t>4.3  Handwashing and Toilet Facilities (C3)</w:t>
      </w:r>
    </w:p>
    <w:p>
      <w:r>
        <w:rPr>
          <w:b w:val="0"/>
          <w:i w:val="0"/>
          <w:sz w:val="20"/>
        </w:rPr>
        <w:t>Toilet facilities are provided by a chemical toilet at the site entry gate, approximately 75 m from the packing shed. A single hand basin with cold water is plumbed adjacent to the toilet cabinet. No handwashing facilities are provided within or directly adjacent to the processing area.</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(4000 L) outside the processing building; solid waste in sealed wheeled bins with lids; external waste bay roofed and bunded on three sides with 300 mm concrete kerb and sealed slab. Organic waste composted in covered bay 50 m from processing. No open waste storage areas.</w:t>
      </w:r>
    </w:p>
    <w:p/>
    <w:p>
      <w:pPr>
        <w:pStyle w:val="Heading1"/>
      </w:pPr>
      <w:r>
        <w:rPr>
          <w:color w:val="1F497D"/>
        </w:rPr>
        <w:t>6.  VICSTE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January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Canola. All product-contact surfaces are cleaned between commodity lots using the documented cleaning procedure. Non-product-contact surfaces cleaned on a 4-weekly schedule. No hygiene deficiencies at most recent inspection.</w:t>
      </w:r>
    </w:p>
    <w:p>
      <w:pPr>
        <w:pStyle w:val="Heading2"/>
      </w:pPr>
      <w:r>
        <w:t>7.2  Pest Condition (C9)</w:t>
      </w:r>
    </w:p>
    <w:p>
      <w:r>
        <w:rPr>
          <w:b w:val="0"/>
          <w:i w:val="0"/>
          <w:sz w:val="20"/>
        </w:rPr>
        <w:t>Pest condition assessment: Rodents: nil evidence in 3 months of monitoring. Grain insects: probe samples from all storage negative for live insects. Birds: no evidence of access to grain-contact areas. Last licensed fumigation: October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Bruce Nilsson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6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