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Wimmera Pulse Partners</w:t>
            </w:r>
          </w:p>
        </w:tc>
      </w:tr>
      <w:tr>
        <w:tc>
          <w:tcPr>
            <w:tcW w:type="dxa" w:w="3118"/>
            <w:shd w:val="clear" w:color="auto" w:fill="DCE6F1"/>
            <w:vAlign w:val="center"/>
          </w:tcPr>
          <w:p>
            <w:r>
              <w:rPr>
                <w:b/>
                <w:sz w:val="18"/>
              </w:rPr>
              <w:t>RE Number</w:t>
            </w:r>
          </w:p>
        </w:tc>
        <w:tc>
          <w:tcPr>
            <w:tcW w:type="dxa" w:w="6236"/>
            <w:vAlign w:val="center"/>
          </w:tcPr>
          <w:p>
            <w:r>
              <w:rPr>
                <w:sz w:val="18"/>
              </w:rPr>
              <w:t>RE-VIC-2023-0011</w:t>
            </w:r>
          </w:p>
        </w:tc>
      </w:tr>
      <w:tr>
        <w:tc>
          <w:tcPr>
            <w:tcW w:type="dxa" w:w="3118"/>
            <w:shd w:val="clear" w:color="auto" w:fill="DCE6F1"/>
            <w:vAlign w:val="center"/>
          </w:tcPr>
          <w:p>
            <w:r>
              <w:rPr>
                <w:b/>
                <w:sz w:val="18"/>
              </w:rPr>
              <w:t>State / Territory</w:t>
            </w:r>
          </w:p>
        </w:tc>
        <w:tc>
          <w:tcPr>
            <w:tcW w:type="dxa" w:w="6236"/>
            <w:vAlign w:val="center"/>
          </w:tcPr>
          <w:p>
            <w:r>
              <w:rPr>
                <w:sz w:val="18"/>
              </w:rPr>
              <w:t>VIC</w:t>
            </w:r>
          </w:p>
        </w:tc>
      </w:tr>
      <w:tr>
        <w:tc>
          <w:tcPr>
            <w:tcW w:type="dxa" w:w="3118"/>
            <w:shd w:val="clear" w:color="auto" w:fill="DCE6F1"/>
            <w:vAlign w:val="center"/>
          </w:tcPr>
          <w:p>
            <w:r>
              <w:rPr>
                <w:b/>
                <w:sz w:val="18"/>
              </w:rPr>
              <w:t>Property Address</w:t>
            </w:r>
          </w:p>
        </w:tc>
        <w:tc>
          <w:tcPr>
            <w:tcW w:type="dxa" w:w="6236"/>
            <w:vAlign w:val="center"/>
          </w:tcPr>
          <w:p>
            <w:r>
              <w:rPr>
                <w:sz w:val="18"/>
              </w:rPr>
              <w:t>24 Western Ring Road, Horsham VIC 3400</w:t>
            </w:r>
          </w:p>
        </w:tc>
      </w:tr>
      <w:tr>
        <w:tc>
          <w:tcPr>
            <w:tcW w:type="dxa" w:w="3118"/>
            <w:shd w:val="clear" w:color="auto" w:fill="DCE6F1"/>
            <w:vAlign w:val="center"/>
          </w:tcPr>
          <w:p>
            <w:r>
              <w:rPr>
                <w:b/>
                <w:sz w:val="18"/>
              </w:rPr>
              <w:t>Registered Commodity</w:t>
            </w:r>
          </w:p>
        </w:tc>
        <w:tc>
          <w:tcPr>
            <w:tcW w:type="dxa" w:w="6236"/>
            <w:vAlign w:val="center"/>
          </w:tcPr>
          <w:p>
            <w:r>
              <w:rPr>
                <w:sz w:val="18"/>
              </w:rPr>
              <w:t>Lentils</w:t>
            </w:r>
          </w:p>
        </w:tc>
      </w:tr>
      <w:tr>
        <w:tc>
          <w:tcPr>
            <w:tcW w:type="dxa" w:w="3118"/>
            <w:shd w:val="clear" w:color="auto" w:fill="DCE6F1"/>
            <w:vAlign w:val="center"/>
          </w:tcPr>
          <w:p>
            <w:r>
              <w:rPr>
                <w:b/>
                <w:sz w:val="18"/>
              </w:rPr>
              <w:t>Responsible Officer</w:t>
            </w:r>
          </w:p>
        </w:tc>
        <w:tc>
          <w:tcPr>
            <w:tcW w:type="dxa" w:w="6236"/>
            <w:vAlign w:val="center"/>
          </w:tcPr>
          <w:p>
            <w:r>
              <w:rPr>
                <w:sz w:val="18"/>
              </w:rPr>
              <w:t>Helen Burns</w:t>
            </w:r>
          </w:p>
        </w:tc>
      </w:tr>
      <w:tr>
        <w:tc>
          <w:tcPr>
            <w:tcW w:type="dxa" w:w="3118"/>
            <w:shd w:val="clear" w:color="auto" w:fill="DCE6F1"/>
            <w:vAlign w:val="center"/>
          </w:tcPr>
          <w:p>
            <w:r>
              <w:rPr>
                <w:b/>
                <w:sz w:val="18"/>
              </w:rPr>
              <w:t>Property Area</w:t>
            </w:r>
          </w:p>
        </w:tc>
        <w:tc>
          <w:tcPr>
            <w:tcW w:type="dxa" w:w="6236"/>
            <w:vAlign w:val="center"/>
          </w:tcPr>
          <w:p>
            <w:r>
              <w:rPr>
                <w:sz w:val="18"/>
              </w:rPr>
              <w:t>680.0 ha</w:t>
            </w:r>
          </w:p>
        </w:tc>
      </w:tr>
      <w:tr>
        <w:tc>
          <w:tcPr>
            <w:tcW w:type="dxa" w:w="3118"/>
            <w:shd w:val="clear" w:color="auto" w:fill="DCE6F1"/>
            <w:vAlign w:val="center"/>
          </w:tcPr>
          <w:p>
            <w:r>
              <w:rPr>
                <w:b/>
                <w:sz w:val="18"/>
              </w:rPr>
              <w:t>Year Established</w:t>
            </w:r>
          </w:p>
        </w:tc>
        <w:tc>
          <w:tcPr>
            <w:tcW w:type="dxa" w:w="6236"/>
            <w:vAlign w:val="center"/>
          </w:tcPr>
          <w:p>
            <w:r>
              <w:rPr>
                <w:sz w:val="18"/>
              </w:rPr>
              <w:t>2017</w:t>
            </w:r>
          </w:p>
        </w:tc>
      </w:tr>
      <w:tr>
        <w:tc>
          <w:tcPr>
            <w:tcW w:type="dxa" w:w="3118"/>
            <w:shd w:val="clear" w:color="auto" w:fill="DCE6F1"/>
            <w:vAlign w:val="center"/>
          </w:tcPr>
          <w:p>
            <w:r>
              <w:rPr>
                <w:b/>
                <w:sz w:val="18"/>
              </w:rPr>
              <w:t>Document Version</w:t>
            </w:r>
          </w:p>
        </w:tc>
        <w:tc>
          <w:tcPr>
            <w:tcW w:type="dxa" w:w="6236"/>
            <w:vAlign w:val="center"/>
          </w:tcPr>
          <w:p>
            <w:r>
              <w:rPr>
                <w:sz w:val="18"/>
              </w:rPr>
              <w:t>2.0</w:t>
            </w:r>
          </w:p>
        </w:tc>
      </w:tr>
      <w:tr>
        <w:tc>
          <w:tcPr>
            <w:tcW w:type="dxa" w:w="3118"/>
            <w:shd w:val="clear" w:color="auto" w:fill="DCE6F1"/>
            <w:vAlign w:val="center"/>
          </w:tcPr>
          <w:p>
            <w:r>
              <w:rPr>
                <w:b/>
                <w:sz w:val="18"/>
              </w:rPr>
              <w:t>Plan Date</w:t>
            </w:r>
          </w:p>
        </w:tc>
        <w:tc>
          <w:tcPr>
            <w:tcW w:type="dxa" w:w="6236"/>
            <w:vAlign w:val="center"/>
          </w:tcPr>
          <w:p>
            <w:r>
              <w:rPr>
                <w:sz w:val="18"/>
              </w:rPr>
              <w:t>6 March 2024</w:t>
            </w:r>
          </w:p>
        </w:tc>
      </w:tr>
      <w:tr>
        <w:tc>
          <w:tcPr>
            <w:tcW w:type="dxa" w:w="3118"/>
            <w:shd w:val="clear" w:color="auto" w:fill="DCE6F1"/>
            <w:vAlign w:val="center"/>
          </w:tcPr>
          <w:p>
            <w:r>
              <w:rPr>
                <w:b/>
                <w:sz w:val="18"/>
              </w:rPr>
              <w:t>Next Review</w:t>
            </w:r>
          </w:p>
        </w:tc>
        <w:tc>
          <w:tcPr>
            <w:tcW w:type="dxa" w:w="6236"/>
            <w:vAlign w:val="center"/>
          </w:tcPr>
          <w:p>
            <w:r>
              <w:rPr>
                <w:sz w:val="18"/>
              </w:rPr>
              <w:t>6 March 2026</w:t>
            </w:r>
          </w:p>
        </w:tc>
      </w:tr>
    </w:tbl>
    <w:p/>
    <w:p>
      <w:pPr>
        <w:pStyle w:val="Heading1"/>
      </w:pPr>
      <w:r>
        <w:rPr>
          <w:color w:val="1F497D"/>
        </w:rPr>
        <w:t>1.  OVERVIEW</w:t>
      </w:r>
    </w:p>
    <w:p>
      <w:r>
        <w:rPr>
          <w:b w:val="0"/>
          <w:i w:val="0"/>
          <w:sz w:val="20"/>
        </w:rPr>
        <w:t>Wimmera Pulse Partners is a registered export establishment located at 24 Western Ring Road, Horsham VIC 3400, VIC. The establishment holds RE Number RE-VIC-2023-0011 and is registered to handle and export Lentils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w:t>
            </w:r>
          </w:p>
        </w:tc>
        <w:tc>
          <w:tcPr>
            <w:tcW w:type="dxa" w:w="1587"/>
            <w:shd w:val="clear" w:color="auto" w:fill="FFFFFF"/>
            <w:vAlign w:val="center"/>
          </w:tcPr>
          <w:p>
            <w:r>
              <w:rPr>
                <w:sz w:val="18"/>
              </w:rPr>
              <w:t>40 t pit type</w:t>
            </w:r>
          </w:p>
        </w:tc>
        <w:tc>
          <w:tcPr>
            <w:tcW w:type="dxa" w:w="1984"/>
            <w:shd w:val="clear" w:color="auto" w:fill="FFFFFF"/>
            <w:vAlign w:val="center"/>
          </w:tcPr>
          <w:p>
            <w:r>
              <w:rPr>
                <w:sz w:val="18"/>
              </w:rPr>
              <w:t>Concrete pit, steel deck</w:t>
            </w:r>
          </w:p>
        </w:tc>
        <w:tc>
          <w:tcPr>
            <w:tcW w:type="dxa" w:w="2381"/>
            <w:shd w:val="clear" w:color="auto" w:fill="FFFFFF"/>
            <w:vAlign w:val="center"/>
          </w:tcPr>
          <w:p>
            <w:r>
              <w:rPr>
                <w:sz w:val="18"/>
              </w:rPr>
              <w:t>North entry</w:t>
            </w:r>
          </w:p>
        </w:tc>
      </w:tr>
      <w:tr>
        <w:tc>
          <w:tcPr>
            <w:tcW w:type="dxa" w:w="850"/>
            <w:shd w:val="clear" w:color="auto" w:fill="F2F2F2"/>
            <w:vAlign w:val="center"/>
          </w:tcPr>
          <w:p>
            <w:r>
              <w:rPr>
                <w:sz w:val="18"/>
              </w:rPr>
              <w:t>GS</w:t>
            </w:r>
          </w:p>
        </w:tc>
        <w:tc>
          <w:tcPr>
            <w:tcW w:type="dxa" w:w="3118"/>
            <w:shd w:val="clear" w:color="auto" w:fill="F2F2F2"/>
            <w:vAlign w:val="center"/>
          </w:tcPr>
          <w:p>
            <w:r>
              <w:rPr>
                <w:sz w:val="18"/>
              </w:rPr>
              <w:t>Grading Shed</w:t>
            </w:r>
          </w:p>
        </w:tc>
        <w:tc>
          <w:tcPr>
            <w:tcW w:type="dxa" w:w="1587"/>
            <w:shd w:val="clear" w:color="auto" w:fill="F2F2F2"/>
            <w:vAlign w:val="center"/>
          </w:tcPr>
          <w:p>
            <w:r>
              <w:rPr>
                <w:sz w:val="18"/>
              </w:rPr>
              <w:t>28×20 m</w:t>
            </w:r>
          </w:p>
        </w:tc>
        <w:tc>
          <w:tcPr>
            <w:tcW w:type="dxa" w:w="1984"/>
            <w:shd w:val="clear" w:color="auto" w:fill="F2F2F2"/>
            <w:vAlign w:val="center"/>
          </w:tcPr>
          <w:p>
            <w:r>
              <w:rPr>
                <w:sz w:val="18"/>
              </w:rPr>
              <w:t>Steel portal, concrete floor</w:t>
            </w:r>
          </w:p>
        </w:tc>
        <w:tc>
          <w:tcPr>
            <w:tcW w:type="dxa" w:w="2381"/>
            <w:shd w:val="clear" w:color="auto" w:fill="F2F2F2"/>
            <w:vAlign w:val="center"/>
          </w:tcPr>
          <w:p>
            <w:r>
              <w:rPr>
                <w:sz w:val="18"/>
              </w:rPr>
              <w:t>Centre of site</w:t>
            </w:r>
          </w:p>
        </w:tc>
      </w:tr>
      <w:tr>
        <w:tc>
          <w:tcPr>
            <w:tcW w:type="dxa" w:w="850"/>
            <w:shd w:val="clear" w:color="auto" w:fill="FFFFFF"/>
            <w:vAlign w:val="center"/>
          </w:tcPr>
          <w:p>
            <w:r>
              <w:rPr>
                <w:sz w:val="18"/>
              </w:rPr>
              <w:t>S1–S4</w:t>
            </w:r>
          </w:p>
        </w:tc>
        <w:tc>
          <w:tcPr>
            <w:tcW w:type="dxa" w:w="3118"/>
            <w:shd w:val="clear" w:color="auto" w:fill="FFFFFF"/>
            <w:vAlign w:val="center"/>
          </w:tcPr>
          <w:p>
            <w:r>
              <w:rPr>
                <w:sz w:val="18"/>
              </w:rPr>
              <w:t>Storage Bins ×4 (1,000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Steel on concrete</w:t>
            </w:r>
          </w:p>
        </w:tc>
        <w:tc>
          <w:tcPr>
            <w:tcW w:type="dxa" w:w="2381"/>
            <w:shd w:val="clear" w:color="auto" w:fill="FFFFFF"/>
            <w:vAlign w:val="center"/>
          </w:tcPr>
          <w:p>
            <w:r>
              <w:rPr>
                <w:sz w:val="18"/>
              </w:rPr>
              <w:t>South cluster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7×5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GS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Remote — 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GS</w:t>
            </w:r>
          </w:p>
        </w:tc>
        <w:tc>
          <w:tcPr>
            <w:tcW w:type="dxa" w:w="2381"/>
            <w:shd w:val="clear" w:color="auto" w:fill="F2F2F2"/>
            <w:vAlign w:val="center"/>
          </w:tcPr>
          <w:p>
            <w:r>
              <w:rPr>
                <w:sz w:val="18"/>
              </w:rPr>
              <w:t>GS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Pulse grader (aspiration screen)</w:t>
            </w:r>
          </w:p>
        </w:tc>
        <w:tc>
          <w:tcPr>
            <w:tcW w:type="dxa" w:w="1984"/>
            <w:shd w:val="clear" w:color="auto" w:fill="FFFFFF"/>
            <w:vAlign w:val="center"/>
          </w:tcPr>
          <w:p>
            <w:r>
              <w:rPr>
                <w:sz w:val="18"/>
              </w:rPr>
              <w:t>1 unit</w:t>
            </w:r>
          </w:p>
        </w:tc>
        <w:tc>
          <w:tcPr>
            <w:tcW w:type="dxa" w:w="4252"/>
            <w:shd w:val="clear" w:color="auto" w:fill="FFFFFF"/>
            <w:vAlign w:val="center"/>
          </w:tcPr>
          <w:p>
            <w:r>
              <w:rPr>
                <w:sz w:val="18"/>
              </w:rPr>
              <w:t>Cleaning and grading</w:t>
            </w:r>
          </w:p>
        </w:tc>
      </w:tr>
      <w:tr>
        <w:tc>
          <w:tcPr>
            <w:tcW w:type="dxa" w:w="3685"/>
            <w:shd w:val="clear" w:color="auto" w:fill="F2F2F2"/>
            <w:vAlign w:val="center"/>
          </w:tcPr>
          <w:p>
            <w:r>
              <w:rPr>
                <w:sz w:val="18"/>
              </w:rPr>
              <w:t>Destoner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Foreign material removal</w:t>
            </w:r>
          </w:p>
        </w:tc>
      </w:tr>
      <w:tr>
        <w:tc>
          <w:tcPr>
            <w:tcW w:type="dxa" w:w="3685"/>
            <w:shd w:val="clear" w:color="auto" w:fill="FFFFFF"/>
            <w:vAlign w:val="center"/>
          </w:tcPr>
          <w:p>
            <w:r>
              <w:rPr>
                <w:sz w:val="18"/>
              </w:rPr>
              <w:t>Colour sorter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Quality grading</w:t>
            </w:r>
          </w:p>
        </w:tc>
      </w:tr>
      <w:tr>
        <w:tc>
          <w:tcPr>
            <w:tcW w:type="dxa" w:w="3685"/>
            <w:shd w:val="clear" w:color="auto" w:fill="F2F2F2"/>
            <w:vAlign w:val="center"/>
          </w:tcPr>
          <w:p>
            <w:r>
              <w:rPr>
                <w:sz w:val="18"/>
              </w:rPr>
              <w:t>Bagging machine (25 kg bags)</w:t>
            </w:r>
          </w:p>
        </w:tc>
        <w:tc>
          <w:tcPr>
            <w:tcW w:type="dxa" w:w="1984"/>
            <w:shd w:val="clear" w:color="auto" w:fill="F2F2F2"/>
            <w:vAlign w:val="center"/>
          </w:tcPr>
          <w:p>
            <w:r>
              <w:rPr>
                <w:sz w:val="18"/>
              </w:rPr>
              <w:t>1 unit</w:t>
            </w:r>
          </w:p>
        </w:tc>
        <w:tc>
          <w:tcPr>
            <w:tcW w:type="dxa" w:w="4252"/>
            <w:shd w:val="clear" w:color="auto" w:fill="F2F2F2"/>
            <w:vAlign w:val="center"/>
          </w:tcPr>
          <w:p>
            <w:r>
              <w:rPr>
                <w:sz w:val="18"/>
              </w:rPr>
              <w:t>Bulk export bagging</w:t>
            </w:r>
          </w:p>
        </w:tc>
      </w:tr>
      <w:tr>
        <w:tc>
          <w:tcPr>
            <w:tcW w:type="dxa" w:w="3685"/>
            <w:shd w:val="clear" w:color="auto" w:fill="FFFFFF"/>
            <w:vAlign w:val="center"/>
          </w:tcPr>
          <w:p>
            <w:r>
              <w:rPr>
                <w:sz w:val="18"/>
              </w:rPr>
              <w:t>Weighbridge system</w:t>
            </w:r>
          </w:p>
        </w:tc>
        <w:tc>
          <w:tcPr>
            <w:tcW w:type="dxa" w:w="1984"/>
            <w:shd w:val="clear" w:color="auto" w:fill="FFFFFF"/>
            <w:vAlign w:val="center"/>
          </w:tcPr>
          <w:p>
            <w:r>
              <w:rPr>
                <w:sz w:val="18"/>
              </w:rPr>
              <w:t>40 t rated</w:t>
            </w:r>
          </w:p>
        </w:tc>
        <w:tc>
          <w:tcPr>
            <w:tcW w:type="dxa" w:w="4252"/>
            <w:shd w:val="clear" w:color="auto" w:fill="FFFFFF"/>
            <w:vAlign w:val="center"/>
          </w:tcPr>
          <w:p>
            <w:r>
              <w:rPr>
                <w:sz w:val="18"/>
              </w:rPr>
              <w:t>Truck weighing</w:t>
            </w:r>
          </w:p>
        </w:tc>
      </w:tr>
      <w:tr>
        <w:tc>
          <w:tcPr>
            <w:tcW w:type="dxa" w:w="3685"/>
            <w:shd w:val="clear" w:color="auto" w:fill="F2F2F2"/>
            <w:vAlign w:val="center"/>
          </w:tcPr>
          <w:p>
            <w:r>
              <w:rPr>
                <w:sz w:val="18"/>
              </w:rPr>
              <w:t>In-line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Lentils.</w:t>
      </w:r>
    </w:p>
    <w:p>
      <w:pPr>
        <w:pStyle w:val="Heading2"/>
      </w:pPr>
      <w:r>
        <w:t>4.2  Lighting (C2)</w:t>
      </w:r>
    </w:p>
    <w:p>
      <w:r>
        <w:rPr>
          <w:b w:val="0"/>
          <w:i w:val="0"/>
          <w:sz w:val="20"/>
        </w:rPr>
        <w:t>High-efficiency LED battens throughout: 520 lux packing hall, 400 lux cool store entry, 380 lux dispatch bay. Sensor-activated step-lighting along conveyor access walkways. All fittings shatterproof-sleeved, IP54 rated minimum.</w:t>
      </w:r>
    </w:p>
    <w:p>
      <w:pPr>
        <w:pStyle w:val="Heading2"/>
      </w:pPr>
      <w:r>
        <w:t>4.3  Handwashing and Toilet Facilities (C3)</w:t>
      </w:r>
    </w:p>
    <w:p>
      <w:r>
        <w:rPr>
          <w:b w:val="0"/>
          <w:i w:val="0"/>
          <w:sz w:val="20"/>
        </w:rPr>
        <w:t>Purpose-built amenities: 1 toilet, 2 hand basins — insulated hot-water system, soap and single-use paper towels. Amenities connected to main processing building via covered walkway. In-line handwash basin at processing floor entry point.</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Purpose-built construction with cleanability designed in: coved epoxy floors, smooth coated-steel wall panels, no horizontal ledges on equipment or structure, all joints sealed with food-grade silicone, recessed floor drain channels with removable SS covers. Annual deep-clean by specialist contractor supplements weekly programme.</w:t>
      </w:r>
    </w:p>
    <w:p>
      <w:pPr>
        <w:pStyle w:val="Heading2"/>
      </w:pPr>
      <w:r>
        <w:t>5.2  Contamination and Pest Harbourage Minimisation (C5)</w:t>
      </w:r>
    </w:p>
    <w:p>
      <w:r>
        <w:rPr>
          <w:b w:val="0"/>
          <w:i w:val="0"/>
          <w:sz w:val="20"/>
        </w:rPr>
        <w:t>Building envelope sealed to export standard: galvanised mesh (6 mm) on all openings; door brush seals replaced every 2 years; expansion joints filled with flexible polyurethane; no open eaves — soffit board sealed to top of wall cladding; all roof penetrations (vents, conduits) flashed and sealed. No horizontal structural members without drainage slope.</w:t>
      </w:r>
    </w:p>
    <w:p>
      <w:pPr>
        <w:pStyle w:val="Heading2"/>
      </w:pPr>
      <w:r>
        <w:t>5.3  Waste Disposal Design (C6)</w:t>
      </w:r>
    </w:p>
    <w:p>
      <w:r>
        <w:rPr>
          <w:b w:val="0"/>
          <w:i w:val="0"/>
          <w:sz w:val="20"/>
        </w:rPr>
        <w:t>Waste disposal: bunded concrete waste pad (4×6 m, 150 mm kerb on 3 sides) adjacent to building for solid waste collection in sealed lidded bins; liquid waste to licensed grease-trap and sewer connection; dust collection by wet scrubber — effluent to contained holding pond; all chemical waste in labelled containers in chemical store for licensed disposal. Records maintained.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Management SOP (WM-SOP-115, version 2.0, current): specifies waste stream segregation, bin placement, collection frequencies and disposal methods. Reviewed bi-annually. Non-conformances logged in the corrective action register. Accessible to all staff on site intranet.</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Pulse screenings and tailings</w:t>
            </w:r>
          </w:p>
        </w:tc>
        <w:tc>
          <w:tcPr>
            <w:tcW w:type="dxa" w:w="4252"/>
            <w:shd w:val="clear" w:color="auto" w:fill="FFFFFF"/>
            <w:vAlign w:val="center"/>
          </w:tcPr>
          <w:p>
            <w:r>
              <w:rPr>
                <w:sz w:val="18"/>
              </w:rPr>
              <w:t>Collection bins under aspirator — sealed</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Dust and chaff</w:t>
            </w:r>
          </w:p>
        </w:tc>
        <w:tc>
          <w:tcPr>
            <w:tcW w:type="dxa" w:w="4252"/>
            <w:shd w:val="clear" w:color="auto" w:fill="F2F2F2"/>
            <w:vAlign w:val="center"/>
          </w:tcPr>
          <w:p>
            <w:r>
              <w:rPr>
                <w:sz w:val="18"/>
              </w:rPr>
              <w:t>Bag filter on aspiration system</w:t>
            </w:r>
          </w:p>
        </w:tc>
        <w:tc>
          <w:tcPr>
            <w:tcW w:type="dxa" w:w="2835"/>
            <w:shd w:val="clear" w:color="auto" w:fill="F2F2F2"/>
            <w:vAlign w:val="center"/>
          </w:tcPr>
          <w:p>
            <w:r>
              <w:rPr>
                <w:sz w:val="18"/>
              </w:rPr>
              <w:t>Weekly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sediment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 (bags, strapping)</w:t>
            </w:r>
          </w:p>
        </w:tc>
        <w:tc>
          <w:tcPr>
            <w:tcW w:type="dxa" w:w="4252"/>
            <w:shd w:val="clear" w:color="auto" w:fill="F2F2F2"/>
            <w:vAlign w:val="center"/>
          </w:tcPr>
          <w:p>
            <w:r>
              <w:rPr>
                <w:sz w:val="18"/>
              </w:rPr>
              <w:t>Skip in external waste bay</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Internal inspection results: floor — no accumulated debris in corners or wall bases; equipment — all conveyor belts, rollers and hoppers clean; overhead structure — free from hanging debris; drains — clear and odour-free; amenities — clean with full consumable stocks. Last full deep-clean: 4 weeks prior to this assessment.</w:t>
      </w:r>
    </w:p>
    <w:p>
      <w:pPr>
        <w:pStyle w:val="Heading2"/>
      </w:pPr>
      <w:r>
        <w:t>7.2  Pest Condition (C9)</w:t>
      </w:r>
    </w:p>
    <w:p>
      <w:r>
        <w:rPr>
          <w:b w:val="0"/>
          <w:i w:val="0"/>
          <w:sz w:val="20"/>
        </w:rPr>
        <w:t>Current pest status: all monitoring indicators within acceptable range. Rodent bait consumption at routine background level. Insect sticky traps show no grain storage pest species. No evidence of bird entry. Bait station register up to date and signed by licensed pest management technician (last service: January 2025).</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CitiPower/Powercor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Helen Burns</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6 March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