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Kimberley Premium Exports</w:t>
            </w:r>
          </w:p>
        </w:tc>
      </w:tr>
      <w:tr>
        <w:tc>
          <w:tcPr>
            <w:tcW w:type="dxa" w:w="3118"/>
            <w:shd w:val="clear" w:color="auto" w:fill="DCE6F1"/>
            <w:vAlign w:val="center"/>
          </w:tcPr>
          <w:p>
            <w:r>
              <w:rPr>
                <w:b/>
                <w:sz w:val="18"/>
              </w:rPr>
              <w:t>RE Number</w:t>
            </w:r>
          </w:p>
        </w:tc>
        <w:tc>
          <w:tcPr>
            <w:tcW w:type="dxa" w:w="6236"/>
            <w:vAlign w:val="center"/>
          </w:tcPr>
          <w:p>
            <w:r>
              <w:rPr>
                <w:sz w:val="18"/>
              </w:rPr>
              <w:t>RE-WA-2020-0155</w:t>
            </w:r>
          </w:p>
        </w:tc>
      </w:tr>
      <w:tr>
        <w:tc>
          <w:tcPr>
            <w:tcW w:type="dxa" w:w="3118"/>
            <w:shd w:val="clear" w:color="auto" w:fill="DCE6F1"/>
            <w:vAlign w:val="center"/>
          </w:tcPr>
          <w:p>
            <w:r>
              <w:rPr>
                <w:b/>
                <w:sz w:val="18"/>
              </w:rPr>
              <w:t>State / Territory</w:t>
            </w:r>
          </w:p>
        </w:tc>
        <w:tc>
          <w:tcPr>
            <w:tcW w:type="dxa" w:w="6236"/>
            <w:vAlign w:val="center"/>
          </w:tcPr>
          <w:p>
            <w:r>
              <w:rPr>
                <w:sz w:val="18"/>
              </w:rPr>
              <w:t>WA</w:t>
            </w:r>
          </w:p>
        </w:tc>
      </w:tr>
      <w:tr>
        <w:tc>
          <w:tcPr>
            <w:tcW w:type="dxa" w:w="3118"/>
            <w:shd w:val="clear" w:color="auto" w:fill="DCE6F1"/>
            <w:vAlign w:val="center"/>
          </w:tcPr>
          <w:p>
            <w:r>
              <w:rPr>
                <w:b/>
                <w:sz w:val="18"/>
              </w:rPr>
              <w:t>Property Address</w:t>
            </w:r>
          </w:p>
        </w:tc>
        <w:tc>
          <w:tcPr>
            <w:tcW w:type="dxa" w:w="6236"/>
            <w:vAlign w:val="center"/>
          </w:tcPr>
          <w:p>
            <w:r>
              <w:rPr>
                <w:sz w:val="18"/>
              </w:rPr>
              <w:t>Lot 12 Great Northern Highway, Broome WA 6725</w:t>
            </w:r>
          </w:p>
        </w:tc>
      </w:tr>
      <w:tr>
        <w:tc>
          <w:tcPr>
            <w:tcW w:type="dxa" w:w="3118"/>
            <w:shd w:val="clear" w:color="auto" w:fill="DCE6F1"/>
            <w:vAlign w:val="center"/>
          </w:tcPr>
          <w:p>
            <w:r>
              <w:rPr>
                <w:b/>
                <w:sz w:val="18"/>
              </w:rPr>
              <w:t>Registered Commodity</w:t>
            </w:r>
          </w:p>
        </w:tc>
        <w:tc>
          <w:tcPr>
            <w:tcW w:type="dxa" w:w="6236"/>
            <w:vAlign w:val="center"/>
          </w:tcPr>
          <w:p>
            <w:r>
              <w:rPr>
                <w:sz w:val="18"/>
              </w:rPr>
              <w:t>Sorghum</w:t>
            </w:r>
          </w:p>
        </w:tc>
      </w:tr>
      <w:tr>
        <w:tc>
          <w:tcPr>
            <w:tcW w:type="dxa" w:w="3118"/>
            <w:shd w:val="clear" w:color="auto" w:fill="DCE6F1"/>
            <w:vAlign w:val="center"/>
          </w:tcPr>
          <w:p>
            <w:r>
              <w:rPr>
                <w:b/>
                <w:sz w:val="18"/>
              </w:rPr>
              <w:t>Responsible Officer</w:t>
            </w:r>
          </w:p>
        </w:tc>
        <w:tc>
          <w:tcPr>
            <w:tcW w:type="dxa" w:w="6236"/>
            <w:vAlign w:val="center"/>
          </w:tcPr>
          <w:p>
            <w:r>
              <w:rPr>
                <w:sz w:val="18"/>
              </w:rPr>
              <w:t>Gary Watkins</w:t>
            </w:r>
          </w:p>
        </w:tc>
      </w:tr>
      <w:tr>
        <w:tc>
          <w:tcPr>
            <w:tcW w:type="dxa" w:w="3118"/>
            <w:shd w:val="clear" w:color="auto" w:fill="DCE6F1"/>
            <w:vAlign w:val="center"/>
          </w:tcPr>
          <w:p>
            <w:r>
              <w:rPr>
                <w:b/>
                <w:sz w:val="18"/>
              </w:rPr>
              <w:t>Property Area</w:t>
            </w:r>
          </w:p>
        </w:tc>
        <w:tc>
          <w:tcPr>
            <w:tcW w:type="dxa" w:w="6236"/>
            <w:vAlign w:val="center"/>
          </w:tcPr>
          <w:p>
            <w:r>
              <w:rPr>
                <w:sz w:val="18"/>
              </w:rPr>
              <w:t>1850.0 ha</w:t>
            </w:r>
          </w:p>
        </w:tc>
      </w:tr>
      <w:tr>
        <w:tc>
          <w:tcPr>
            <w:tcW w:type="dxa" w:w="3118"/>
            <w:shd w:val="clear" w:color="auto" w:fill="DCE6F1"/>
            <w:vAlign w:val="center"/>
          </w:tcPr>
          <w:p>
            <w:r>
              <w:rPr>
                <w:b/>
                <w:sz w:val="18"/>
              </w:rPr>
              <w:t>Year Established</w:t>
            </w:r>
          </w:p>
        </w:tc>
        <w:tc>
          <w:tcPr>
            <w:tcW w:type="dxa" w:w="6236"/>
            <w:vAlign w:val="center"/>
          </w:tcPr>
          <w:p>
            <w:r>
              <w:rPr>
                <w:sz w:val="18"/>
              </w:rPr>
              <w:t>2011</w:t>
            </w:r>
          </w:p>
        </w:tc>
      </w:tr>
      <w:tr>
        <w:tc>
          <w:tcPr>
            <w:tcW w:type="dxa" w:w="3118"/>
            <w:shd w:val="clear" w:color="auto" w:fill="DCE6F1"/>
            <w:vAlign w:val="center"/>
          </w:tcPr>
          <w:p>
            <w:r>
              <w:rPr>
                <w:b/>
                <w:sz w:val="18"/>
              </w:rPr>
              <w:t>Document Version</w:t>
            </w:r>
          </w:p>
        </w:tc>
        <w:tc>
          <w:tcPr>
            <w:tcW w:type="dxa" w:w="6236"/>
            <w:vAlign w:val="center"/>
          </w:tcPr>
          <w:p>
            <w:r>
              <w:rPr>
                <w:sz w:val="18"/>
              </w:rPr>
              <w:t>2.1</w:t>
            </w:r>
          </w:p>
        </w:tc>
      </w:tr>
      <w:tr>
        <w:tc>
          <w:tcPr>
            <w:tcW w:type="dxa" w:w="3118"/>
            <w:shd w:val="clear" w:color="auto" w:fill="DCE6F1"/>
            <w:vAlign w:val="center"/>
          </w:tcPr>
          <w:p>
            <w:r>
              <w:rPr>
                <w:b/>
                <w:sz w:val="18"/>
              </w:rPr>
              <w:t>Plan Date</w:t>
            </w:r>
          </w:p>
        </w:tc>
        <w:tc>
          <w:tcPr>
            <w:tcW w:type="dxa" w:w="6236"/>
            <w:vAlign w:val="center"/>
          </w:tcPr>
          <w:p>
            <w:r>
              <w:rPr>
                <w:sz w:val="18"/>
              </w:rPr>
              <w:t>28 February 2024</w:t>
            </w:r>
          </w:p>
        </w:tc>
      </w:tr>
      <w:tr>
        <w:tc>
          <w:tcPr>
            <w:tcW w:type="dxa" w:w="3118"/>
            <w:shd w:val="clear" w:color="auto" w:fill="DCE6F1"/>
            <w:vAlign w:val="center"/>
          </w:tcPr>
          <w:p>
            <w:r>
              <w:rPr>
                <w:b/>
                <w:sz w:val="18"/>
              </w:rPr>
              <w:t>Next Review</w:t>
            </w:r>
          </w:p>
        </w:tc>
        <w:tc>
          <w:tcPr>
            <w:tcW w:type="dxa" w:w="6236"/>
            <w:vAlign w:val="center"/>
          </w:tcPr>
          <w:p>
            <w:r>
              <w:rPr>
                <w:sz w:val="18"/>
              </w:rPr>
              <w:t>28 February 2026</w:t>
            </w:r>
          </w:p>
        </w:tc>
      </w:tr>
    </w:tbl>
    <w:p/>
    <w:p>
      <w:pPr>
        <w:pStyle w:val="Heading1"/>
      </w:pPr>
      <w:r>
        <w:rPr>
          <w:color w:val="1F497D"/>
        </w:rPr>
        <w:t>1.  OVERVIEW</w:t>
      </w:r>
    </w:p>
    <w:p>
      <w:r>
        <w:rPr>
          <w:b w:val="0"/>
          <w:i w:val="0"/>
          <w:sz w:val="20"/>
        </w:rPr>
        <w:t>Kimberley Premium Exports is a registered export establishment located at Lot 12 Great Northern Highway, Broome WA 6725, WA. The establishment holds RE Number RE-WA-2020-0155 and is registered to handle and export Sorghum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RB</w:t>
            </w:r>
          </w:p>
        </w:tc>
        <w:tc>
          <w:tcPr>
            <w:tcW w:type="dxa" w:w="3118"/>
            <w:shd w:val="clear" w:color="auto" w:fill="FFFFFF"/>
            <w:vAlign w:val="center"/>
          </w:tcPr>
          <w:p>
            <w:r>
              <w:rPr>
                <w:sz w:val="18"/>
              </w:rPr>
              <w:t>Receival Building</w:t>
            </w:r>
          </w:p>
        </w:tc>
        <w:tc>
          <w:tcPr>
            <w:tcW w:type="dxa" w:w="1587"/>
            <w:shd w:val="clear" w:color="auto" w:fill="FFFFFF"/>
            <w:vAlign w:val="center"/>
          </w:tcPr>
          <w:p>
            <w:r>
              <w:rPr>
                <w:sz w:val="18"/>
              </w:rPr>
              <w:t>30×18 m</w:t>
            </w:r>
          </w:p>
        </w:tc>
        <w:tc>
          <w:tcPr>
            <w:tcW w:type="dxa" w:w="1984"/>
            <w:shd w:val="clear" w:color="auto" w:fill="FFFFFF"/>
            <w:vAlign w:val="center"/>
          </w:tcPr>
          <w:p>
            <w:r>
              <w:rPr>
                <w:sz w:val="18"/>
              </w:rPr>
              <w:t>Steel portal, smooth concrete floor</w:t>
            </w:r>
          </w:p>
        </w:tc>
        <w:tc>
          <w:tcPr>
            <w:tcW w:type="dxa" w:w="2381"/>
            <w:shd w:val="clear" w:color="auto" w:fill="FFFFFF"/>
            <w:vAlign w:val="center"/>
          </w:tcPr>
          <w:p>
            <w:r>
              <w:rPr>
                <w:sz w:val="18"/>
              </w:rPr>
              <w:t>Centre-north of site</w:t>
            </w:r>
          </w:p>
        </w:tc>
      </w:tr>
      <w:tr>
        <w:tc>
          <w:tcPr>
            <w:tcW w:type="dxa" w:w="850"/>
            <w:shd w:val="clear" w:color="auto" w:fill="F2F2F2"/>
            <w:vAlign w:val="center"/>
          </w:tcPr>
          <w:p>
            <w:r>
              <w:rPr>
                <w:sz w:val="18"/>
              </w:rPr>
              <w:t>S1–S6</w:t>
            </w:r>
          </w:p>
        </w:tc>
        <w:tc>
          <w:tcPr>
            <w:tcW w:type="dxa" w:w="3118"/>
            <w:shd w:val="clear" w:color="auto" w:fill="F2F2F2"/>
            <w:vAlign w:val="center"/>
          </w:tcPr>
          <w:p>
            <w:r>
              <w:rPr>
                <w:sz w:val="18"/>
              </w:rPr>
              <w:t>Storage Silos ×6 (2,500 t ea)</w:t>
            </w:r>
          </w:p>
        </w:tc>
        <w:tc>
          <w:tcPr>
            <w:tcW w:type="dxa" w:w="1587"/>
            <w:shd w:val="clear" w:color="auto" w:fill="F2F2F2"/>
            <w:vAlign w:val="center"/>
          </w:tcPr>
          <w:p>
            <w:r>
              <w:rPr>
                <w:sz w:val="18"/>
              </w:rPr>
              <w:t>Dia. 12 m</w:t>
            </w:r>
          </w:p>
        </w:tc>
        <w:tc>
          <w:tcPr>
            <w:tcW w:type="dxa" w:w="1984"/>
            <w:shd w:val="clear" w:color="auto" w:fill="F2F2F2"/>
            <w:vAlign w:val="center"/>
          </w:tcPr>
          <w:p>
            <w:r>
              <w:rPr>
                <w:sz w:val="18"/>
              </w:rPr>
              <w:t>Galvanised steel on concrete ring beams</w:t>
            </w:r>
          </w:p>
        </w:tc>
        <w:tc>
          <w:tcPr>
            <w:tcW w:type="dxa" w:w="2381"/>
            <w:shd w:val="clear" w:color="auto" w:fill="F2F2F2"/>
            <w:vAlign w:val="center"/>
          </w:tcPr>
          <w:p>
            <w:r>
              <w:rPr>
                <w:sz w:val="18"/>
              </w:rPr>
              <w:t>Central cluster</w:t>
            </w:r>
          </w:p>
        </w:tc>
      </w:tr>
      <w:tr>
        <w:tc>
          <w:tcPr>
            <w:tcW w:type="dxa" w:w="850"/>
            <w:shd w:val="clear" w:color="auto" w:fill="FFFFFF"/>
            <w:vAlign w:val="center"/>
          </w:tcPr>
          <w:p>
            <w:r>
              <w:rPr>
                <w:sz w:val="18"/>
              </w:rPr>
              <w:t>PL</w:t>
            </w:r>
          </w:p>
        </w:tc>
        <w:tc>
          <w:tcPr>
            <w:tcW w:type="dxa" w:w="3118"/>
            <w:shd w:val="clear" w:color="auto" w:fill="FFFFFF"/>
            <w:vAlign w:val="center"/>
          </w:tcPr>
          <w:p>
            <w:r>
              <w:rPr>
                <w:sz w:val="18"/>
              </w:rPr>
              <w:t>Packing &amp; Load-Out Shed</w:t>
            </w:r>
          </w:p>
        </w:tc>
        <w:tc>
          <w:tcPr>
            <w:tcW w:type="dxa" w:w="1587"/>
            <w:shd w:val="clear" w:color="auto" w:fill="FFFFFF"/>
            <w:vAlign w:val="center"/>
          </w:tcPr>
          <w:p>
            <w:r>
              <w:rPr>
                <w:sz w:val="18"/>
              </w:rPr>
              <w:t>28×18 m</w:t>
            </w:r>
          </w:p>
        </w:tc>
        <w:tc>
          <w:tcPr>
            <w:tcW w:type="dxa" w:w="1984"/>
            <w:shd w:val="clear" w:color="auto" w:fill="FFFFFF"/>
            <w:vAlign w:val="center"/>
          </w:tcPr>
          <w:p>
            <w:r>
              <w:rPr>
                <w:sz w:val="18"/>
              </w:rPr>
              <w:t>Tilt-up concrete panels</w:t>
            </w:r>
          </w:p>
        </w:tc>
        <w:tc>
          <w:tcPr>
            <w:tcW w:type="dxa" w:w="2381"/>
            <w:shd w:val="clear" w:color="auto" w:fill="FFFFFF"/>
            <w:vAlign w:val="center"/>
          </w:tcPr>
          <w:p>
            <w:r>
              <w:rPr>
                <w:sz w:val="18"/>
              </w:rPr>
              <w:t>South end of site</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8×5 m</w:t>
            </w:r>
          </w:p>
        </w:tc>
        <w:tc>
          <w:tcPr>
            <w:tcW w:type="dxa" w:w="1984"/>
            <w:shd w:val="clear" w:color="auto" w:fill="F2F2F2"/>
            <w:vAlign w:val="center"/>
          </w:tcPr>
          <w:p>
            <w:r>
              <w:rPr>
                <w:sz w:val="18"/>
              </w:rPr>
              <w:t>Brick, self-contained</w:t>
            </w:r>
          </w:p>
        </w:tc>
        <w:tc>
          <w:tcPr>
            <w:tcW w:type="dxa" w:w="2381"/>
            <w:shd w:val="clear" w:color="auto" w:fill="F2F2F2"/>
            <w:vAlign w:val="center"/>
          </w:tcPr>
          <w:p>
            <w:r>
              <w:rPr>
                <w:sz w:val="18"/>
              </w:rPr>
              <w:t>Adjacent to RB</w:t>
            </w:r>
          </w:p>
        </w:tc>
      </w:tr>
      <w:tr>
        <w:tc>
          <w:tcPr>
            <w:tcW w:type="dxa" w:w="850"/>
            <w:shd w:val="clear" w:color="auto" w:fill="FFFFFF"/>
            <w:vAlign w:val="center"/>
          </w:tcPr>
          <w:p>
            <w:r>
              <w:rPr>
                <w:sz w:val="18"/>
              </w:rPr>
              <w:t>CS</w:t>
            </w:r>
          </w:p>
        </w:tc>
        <w:tc>
          <w:tcPr>
            <w:tcW w:type="dxa" w:w="3118"/>
            <w:shd w:val="clear" w:color="auto" w:fill="FFFFFF"/>
            <w:vAlign w:val="center"/>
          </w:tcPr>
          <w:p>
            <w:r>
              <w:rPr>
                <w:sz w:val="18"/>
              </w:rPr>
              <w:t>Chemical &amp; Lubricant Store</w:t>
            </w:r>
          </w:p>
        </w:tc>
        <w:tc>
          <w:tcPr>
            <w:tcW w:type="dxa" w:w="1587"/>
            <w:shd w:val="clear" w:color="auto" w:fill="FFFFFF"/>
            <w:vAlign w:val="center"/>
          </w:tcPr>
          <w:p>
            <w:r>
              <w:rPr>
                <w:sz w:val="18"/>
              </w:rPr>
              <w:t>6×4 m</w:t>
            </w:r>
          </w:p>
        </w:tc>
        <w:tc>
          <w:tcPr>
            <w:tcW w:type="dxa" w:w="1984"/>
            <w:shd w:val="clear" w:color="auto" w:fill="FFFFFF"/>
            <w:vAlign w:val="center"/>
          </w:tcPr>
          <w:p>
            <w:r>
              <w:rPr>
                <w:sz w:val="18"/>
              </w:rPr>
              <w:t>Steel, bunded slab</w:t>
            </w:r>
          </w:p>
        </w:tc>
        <w:tc>
          <w:tcPr>
            <w:tcW w:type="dxa" w:w="2381"/>
            <w:shd w:val="clear" w:color="auto" w:fill="FFFFFF"/>
            <w:vAlign w:val="center"/>
          </w:tcPr>
          <w:p>
            <w:r>
              <w:rPr>
                <w:sz w:val="18"/>
              </w:rPr>
              <w:t>15 m from PL</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6×5 m</w:t>
            </w:r>
          </w:p>
        </w:tc>
        <w:tc>
          <w:tcPr>
            <w:tcW w:type="dxa" w:w="1984"/>
            <w:shd w:val="clear" w:color="auto" w:fill="F2F2F2"/>
            <w:vAlign w:val="center"/>
          </w:tcPr>
          <w:p>
            <w:r>
              <w:rPr>
                <w:sz w:val="18"/>
              </w:rPr>
              <w:t>Enclosed steel room</w:t>
            </w:r>
          </w:p>
        </w:tc>
        <w:tc>
          <w:tcPr>
            <w:tcW w:type="dxa" w:w="2381"/>
            <w:shd w:val="clear" w:color="auto" w:fill="F2F2F2"/>
            <w:vAlign w:val="center"/>
          </w:tcPr>
          <w:p>
            <w:r>
              <w:rPr>
                <w:sz w:val="18"/>
              </w:rPr>
              <w:t>Between RB and PL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Grain augers</w:t>
            </w:r>
          </w:p>
        </w:tc>
        <w:tc>
          <w:tcPr>
            <w:tcW w:type="dxa" w:w="1984"/>
            <w:shd w:val="clear" w:color="auto" w:fill="FFFFFF"/>
            <w:vAlign w:val="center"/>
          </w:tcPr>
          <w:p>
            <w:r>
              <w:rPr>
                <w:sz w:val="18"/>
              </w:rPr>
              <w:t>×6</w:t>
            </w:r>
          </w:p>
        </w:tc>
        <w:tc>
          <w:tcPr>
            <w:tcW w:type="dxa" w:w="4252"/>
            <w:shd w:val="clear" w:color="auto" w:fill="FFFFFF"/>
            <w:vAlign w:val="center"/>
          </w:tcPr>
          <w:p>
            <w:r>
              <w:rPr>
                <w:sz w:val="18"/>
              </w:rPr>
              <w:t>Transfer and load-out</w:t>
            </w:r>
          </w:p>
        </w:tc>
      </w:tr>
      <w:tr>
        <w:tc>
          <w:tcPr>
            <w:tcW w:type="dxa" w:w="3685"/>
            <w:shd w:val="clear" w:color="auto" w:fill="F2F2F2"/>
            <w:vAlign w:val="center"/>
          </w:tcPr>
          <w:p>
            <w:r>
              <w:rPr>
                <w:sz w:val="18"/>
              </w:rPr>
              <w:t>Belt conveyors (sealed)</w:t>
            </w:r>
          </w:p>
        </w:tc>
        <w:tc>
          <w:tcPr>
            <w:tcW w:type="dxa" w:w="1984"/>
            <w:shd w:val="clear" w:color="auto" w:fill="F2F2F2"/>
            <w:vAlign w:val="center"/>
          </w:tcPr>
          <w:p>
            <w:r>
              <w:rPr>
                <w:sz w:val="18"/>
              </w:rPr>
              <w:t>×3</w:t>
            </w:r>
          </w:p>
        </w:tc>
        <w:tc>
          <w:tcPr>
            <w:tcW w:type="dxa" w:w="4252"/>
            <w:shd w:val="clear" w:color="auto" w:fill="F2F2F2"/>
            <w:vAlign w:val="center"/>
          </w:tcPr>
          <w:p>
            <w:r>
              <w:rPr>
                <w:sz w:val="18"/>
              </w:rPr>
              <w:t>Receival to storage</w:t>
            </w:r>
          </w:p>
        </w:tc>
      </w:tr>
      <w:tr>
        <w:tc>
          <w:tcPr>
            <w:tcW w:type="dxa" w:w="3685"/>
            <w:shd w:val="clear" w:color="auto" w:fill="FFFFFF"/>
            <w:vAlign w:val="center"/>
          </w:tcPr>
          <w:p>
            <w:r>
              <w:rPr>
                <w:sz w:val="18"/>
              </w:rPr>
              <w:t>Continuous-flow dryer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Moisture conditioning</w:t>
            </w:r>
          </w:p>
        </w:tc>
      </w:tr>
      <w:tr>
        <w:tc>
          <w:tcPr>
            <w:tcW w:type="dxa" w:w="3685"/>
            <w:shd w:val="clear" w:color="auto" w:fill="F2F2F2"/>
            <w:vAlign w:val="center"/>
          </w:tcPr>
          <w:p>
            <w:r>
              <w:rPr>
                <w:sz w:val="18"/>
              </w:rPr>
              <w:t>Weighbridge system</w:t>
            </w:r>
          </w:p>
        </w:tc>
        <w:tc>
          <w:tcPr>
            <w:tcW w:type="dxa" w:w="1984"/>
            <w:shd w:val="clear" w:color="auto" w:fill="F2F2F2"/>
            <w:vAlign w:val="center"/>
          </w:tcPr>
          <w:p>
            <w:r>
              <w:rPr>
                <w:sz w:val="18"/>
              </w:rPr>
              <w:t>80 t rated</w:t>
            </w:r>
          </w:p>
        </w:tc>
        <w:tc>
          <w:tcPr>
            <w:tcW w:type="dxa" w:w="4252"/>
            <w:shd w:val="clear" w:color="auto" w:fill="F2F2F2"/>
            <w:vAlign w:val="center"/>
          </w:tcPr>
          <w:p>
            <w:r>
              <w:rPr>
                <w:sz w:val="18"/>
              </w:rPr>
              <w:t>Inbound/outbound verification</w:t>
            </w:r>
          </w:p>
        </w:tc>
      </w:tr>
      <w:tr>
        <w:tc>
          <w:tcPr>
            <w:tcW w:type="dxa" w:w="3685"/>
            <w:shd w:val="clear" w:color="auto" w:fill="FFFFFF"/>
            <w:vAlign w:val="center"/>
          </w:tcPr>
          <w:p>
            <w:r>
              <w:rPr>
                <w:sz w:val="18"/>
              </w:rPr>
              <w:t>Rotary screen cleaner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Pre-storage cleaning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Sorghum.</w:t>
      </w:r>
    </w:p>
    <w:p>
      <w:pPr>
        <w:pStyle w:val="Heading2"/>
      </w:pPr>
      <w:r>
        <w:t>4.2  Lighting (C2)</w:t>
      </w:r>
    </w:p>
    <w:p>
      <w:r>
        <w:rPr>
          <w:b w:val="0"/>
          <w:i w:val="0"/>
          <w:sz w:val="20"/>
        </w:rPr>
        <w:t>LED high-bay luminaires throughout: 550 lux processing, 440 lux storage, 418 lux load-out. All levels comply with AS/NZS 1680.2.1. Photocell-activated perimeter lighting for after-hours vehicle movements.</w:t>
      </w:r>
    </w:p>
    <w:p>
      <w:pPr>
        <w:pStyle w:val="Heading2"/>
      </w:pPr>
      <w:r>
        <w:t>4.3  Handwashing and Toilet Facilities (C3)</w:t>
      </w:r>
    </w:p>
    <w:p>
      <w:r>
        <w:rPr>
          <w:b w:val="0"/>
          <w:i w:val="0"/>
          <w:sz w:val="20"/>
        </w:rPr>
        <w:t>Amenities block adjacent to processing entry: 2 toilets, 2 hand basins (hot/cold, liquid soap, paper towels). Additional hand basin at packing hall entry — no-touch sensor tap, soap, paper towel roll. 'Wash hands before handling product' signage at all wash points.</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Internal surfaces: smooth-finish epoxy-sealed concrete floors with 80 mm coved skirting; smooth food-grade colourbond wall linings to 2.4 m; recessed drains with stainless-steel grates. All equipment on adjustable SS feet ≥150 mm off floor. Equipment housings open fully for pressure-wash access. Cleaning schedule specifies full washdown between commodity lots.</w:t>
      </w:r>
    </w:p>
    <w:p>
      <w:pPr>
        <w:pStyle w:val="Heading2"/>
      </w:pPr>
      <w:r>
        <w:t>5.2  Contamination and Pest Harbourage Minimisation (C5)</w:t>
      </w:r>
    </w:p>
    <w:p>
      <w:r>
        <w:rPr>
          <w:b w:val="0"/>
          <w:i w:val="0"/>
          <w:sz w:val="20"/>
        </w:rPr>
        <w:t>Sealed building envelope: all wall-floor junctions coved; roof-wall junctions sealed with foam backer rod and polyurethane sealant; all service penetrations sealed with expandable foam; ventilation openings fitted with 6 mm stainless wire mesh; personnel doors with 10 mm brush seals on all four sides; roller doors with rubber threshold sweeps and side brush seals. Annual pest technician inspection confirms envelope integrity.</w:t>
      </w:r>
    </w:p>
    <w:p>
      <w:pPr>
        <w:pStyle w:val="Heading2"/>
      </w:pPr>
      <w:r>
        <w:t>5.3  Waste Disposal Design (C6)</w:t>
      </w:r>
    </w:p>
    <w:p>
      <w:r>
        <w:rPr>
          <w:b w:val="0"/>
          <w:i w:val="0"/>
          <w:sz w:val="20"/>
        </w:rPr>
        <w:t>Liquid waste via flush-recessed floor drains to bunded underground sump (3000 L) outside the building; pump-out by licensed contractor weekly or when 80% full. Solid waste in sealed labelled bins at designated collection points; removed to covered external waste bay daily. Dust via cyclone separator — collection bags changed fortnightly. All waste areas bunded and roofed.</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Documented Waste Management Procedure (WMP-1101 Rev 2): specifies daily spillage sweep, weekly sump pump-out, post-commodity full shed washdown. Responsibilities assigned to named positions. Records in waste management log (Form WL-001) retained ≥2 years. Procedure reviewed annually by establishment manager.</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Grain spillage</w:t>
            </w:r>
          </w:p>
        </w:tc>
        <w:tc>
          <w:tcPr>
            <w:tcW w:type="dxa" w:w="4252"/>
            <w:shd w:val="clear" w:color="auto" w:fill="FFFFFF"/>
            <w:vAlign w:val="center"/>
          </w:tcPr>
          <w:p>
            <w:r>
              <w:rPr>
                <w:sz w:val="18"/>
              </w:rPr>
              <w:t>Sealed collection bins under auger/conveyor discharge</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Cyclone separator → sealed collection bags</w:t>
            </w:r>
          </w:p>
        </w:tc>
        <w:tc>
          <w:tcPr>
            <w:tcW w:type="dxa" w:w="2835"/>
            <w:shd w:val="clear" w:color="auto" w:fill="F2F2F2"/>
            <w:vAlign w:val="center"/>
          </w:tcPr>
          <w:p>
            <w:r>
              <w:rPr>
                <w:sz w:val="18"/>
              </w:rPr>
              <w:t>Fortnightly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bunded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Compressor baler in waste bay</w:t>
            </w:r>
          </w:p>
        </w:tc>
        <w:tc>
          <w:tcPr>
            <w:tcW w:type="dxa" w:w="2835"/>
            <w:shd w:val="clear" w:color="auto" w:fill="F2F2F2"/>
            <w:vAlign w:val="center"/>
          </w:tcPr>
          <w:p>
            <w:r>
              <w:rPr>
                <w:sz w:val="18"/>
              </w:rPr>
              <w:t>Monthly contractor collection</w:t>
            </w:r>
          </w:p>
        </w:tc>
      </w:tr>
      <w:tr>
        <w:tc>
          <w:tcPr>
            <w:tcW w:type="dxa" w:w="2835"/>
            <w:shd w:val="clear" w:color="auto" w:fill="FFFFFF"/>
            <w:vAlign w:val="center"/>
          </w:tcPr>
          <w:p>
            <w:r>
              <w:rPr>
                <w:sz w:val="18"/>
              </w:rPr>
              <w:t>Chemical containers</w:t>
            </w:r>
          </w:p>
        </w:tc>
        <w:tc>
          <w:tcPr>
            <w:tcW w:type="dxa" w:w="4252"/>
            <w:shd w:val="clear" w:color="auto" w:fill="FFFFFF"/>
            <w:vAlign w:val="center"/>
          </w:tcPr>
          <w:p>
            <w:r>
              <w:rPr>
                <w:sz w:val="18"/>
              </w:rPr>
              <w:t>Labelled, sealed store</w:t>
            </w:r>
          </w:p>
        </w:tc>
        <w:tc>
          <w:tcPr>
            <w:tcW w:type="dxa" w:w="2835"/>
            <w:shd w:val="clear" w:color="auto" w:fill="FFFFFF"/>
            <w:vAlign w:val="center"/>
          </w:tcPr>
          <w:p>
            <w:r>
              <w:rPr>
                <w:sz w:val="18"/>
              </w:rPr>
              <w:t>Licensed waste contractor quarterly</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All areas are clean and tidy at inspection. Floors swept and dry — no accumulated sorghum residue, spillage or debris observed. Wall surfaces free from dust and product residue. Equipment cleaned after each production run per cleaning schedule. Amenities block clean; consumables stocked. Drain covers in place and clear.</w:t>
      </w:r>
    </w:p>
    <w:p>
      <w:pPr>
        <w:pStyle w:val="Heading2"/>
      </w:pPr>
      <w:r>
        <w:t>7.2  Pest Condition (C9)</w:t>
      </w:r>
    </w:p>
    <w:p>
      <w:r>
        <w:rPr>
          <w:b w:val="0"/>
          <w:i w:val="0"/>
          <w:sz w:val="20"/>
        </w:rPr>
        <w:t>No pest activity detected at most recent internal inspection. All rodent bait stations serviceable and baited — no evidence of feeding. Insect monitoring traps (pheromone and sticky) show no target species above threshold levels. No evidence of bird ingress. Last fumigation: 2024 (routine, bin rotation).</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Energex/Ergon Energy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 bore licence — 50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Licensed trade waste — EPA approval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Graded hardstand to retention basin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200 kVA diesel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Gary Watkins</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28 February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