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RE-WA-2020-0188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25 June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39 567 890 124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Wheatbelt Storage Co Pty Ltd</w:t>
            </w:r>
          </w:p>
        </w:tc>
      </w:tr>
      <w:tr>
        <w:tc>
          <w:tcPr>
            <w:tcW w:type="dxa" w:w="2835"/>
            <w:shd w:val="clear" w:color="auto" w:fill="DCE6F1"/>
          </w:tcPr>
          <w:p>
            <w:r>
              <w:rPr>
                <w:b/>
                <w:sz w:val="20"/>
              </w:rPr>
              <w:t>Trading Name</w:t>
            </w:r>
          </w:p>
        </w:tc>
        <w:tc>
          <w:tcPr>
            <w:tcW w:type="dxa" w:w="5669"/>
          </w:tcPr>
          <w:p>
            <w:r>
              <w:rPr>
                <w:sz w:val="20"/>
              </w:rPr>
              <w:t>Wheatbelt Storage Co Pty Ltd</w:t>
            </w:r>
          </w:p>
        </w:tc>
      </w:tr>
      <w:tr>
        <w:tc>
          <w:tcPr>
            <w:tcW w:type="dxa" w:w="2835"/>
            <w:shd w:val="clear" w:color="auto" w:fill="DCE6F1"/>
          </w:tcPr>
          <w:p>
            <w:r>
              <w:rPr>
                <w:b/>
                <w:sz w:val="20"/>
              </w:rPr>
              <w:t>Address</w:t>
            </w:r>
          </w:p>
        </w:tc>
        <w:tc>
          <w:tcPr>
            <w:tcW w:type="dxa" w:w="5669"/>
          </w:tcPr>
          <w:p>
            <w:r>
              <w:rPr>
                <w:sz w:val="20"/>
              </w:rPr>
              <w:t>Lot 12 Great Eastern Highway, Cunderdin WA 6407</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Barry Holloway</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RE-WA-2020-0188</w:t>
            </w:r>
          </w:p>
        </w:tc>
      </w:tr>
      <w:tr>
        <w:tc>
          <w:tcPr>
            <w:tcW w:type="dxa" w:w="2835"/>
            <w:shd w:val="clear" w:color="auto" w:fill="DCE6F1"/>
          </w:tcPr>
          <w:p>
            <w:r>
              <w:rPr>
                <w:b/>
                <w:sz w:val="20"/>
              </w:rPr>
              <w:t>Registration Expiry</w:t>
            </w:r>
          </w:p>
        </w:tc>
        <w:tc>
          <w:tcPr>
            <w:tcW w:type="dxa" w:w="5669"/>
          </w:tcPr>
          <w:p>
            <w:r>
              <w:rPr>
                <w:sz w:val="20"/>
              </w:rPr>
              <w:t>21 October 2023</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RE-WA-2020-0188 is current and active. The establishment was granted registration on 22 October 2020 and the current registration period extends to 21 October 2023. There are no conditions, suspensions or reviews attached to this registration.</w:t>
      </w:r>
    </w:p>
    <w:p/>
    <w:p>
      <w:pPr>
        <w:pStyle w:val="Heading1"/>
      </w:pPr>
      <w:r>
        <w:rPr>
          <w:color w:val="1F497D"/>
          <w:sz w:val="26"/>
        </w:rPr>
        <w:t>4. Fit and Proper Person</w:t>
      </w:r>
    </w:p>
    <w:p>
      <w:r>
        <w:rPr>
          <w:sz w:val="20"/>
        </w:rPr>
        <w:t>Barry Holloway is the nominated responsible person for this registration. The establishment has been under continuous management since 2008.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37 on Plan DP 574922, located at Lot 12 Great Eastern Highway, Cunderdin WA 6407. The total registered area is 62.8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establishment began operating under the trading name 'AgriPrime Exports' from April 2025 for marketing purposes. The registered entity name remains unchanged. DAFF has not been notified of the new trading name.</w:t>
      </w:r>
    </w:p>
    <w:p/>
    <w:p>
      <w:pPr>
        <w:pStyle w:val="Heading1"/>
      </w:pPr>
      <w:r>
        <w:rPr>
          <w:color w:val="1F497D"/>
          <w:sz w:val="26"/>
        </w:rPr>
        <w:t>10. Alterations to Registered Premises</w:t>
      </w:r>
    </w:p>
    <w:p>
      <w:r>
        <w:rPr>
          <w:sz w:val="20"/>
        </w:rPr>
        <w:t>An external overhead conveyor linking the new storage annex to the main outloading facility was installed in January 2025. The conveyor traverses the registered premises boundary. No DAFF approval was sought before installation.</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[South Korea] PC required with specific declarations per MAFRA guidance</w:t>
            </w:r>
          </w:p>
        </w:tc>
      </w:tr>
      <w:tr>
        <w:tc>
          <w:tcPr>
            <w:tcW w:type="dxa" w:w="4703"/>
          </w:tcPr>
          <w:p>
            <w:r>
              <w:rPr>
                <w:sz w:val="20"/>
              </w:rPr>
              <w:t>Treatment Records</w:t>
            </w:r>
          </w:p>
        </w:tc>
        <w:tc>
          <w:tcPr>
            <w:tcW w:type="dxa" w:w="4703"/>
          </w:tcPr>
          <w:p>
            <w:r>
              <w:rPr>
                <w:sz w:val="20"/>
              </w:rPr>
              <w:t>[South Korea] Full fumigation records required; NPQS may request copies</w:t>
            </w:r>
          </w:p>
        </w:tc>
      </w:tr>
      <w:tr>
        <w:tc>
          <w:tcPr>
            <w:tcW w:type="dxa" w:w="4703"/>
            <w:shd w:val="clear" w:color="auto" w:fill="F2F2F2"/>
          </w:tcPr>
          <w:p>
            <w:r>
              <w:rPr>
                <w:sz w:val="20"/>
              </w:rPr>
              <w:t>Residue MRLs</w:t>
            </w:r>
          </w:p>
        </w:tc>
        <w:tc>
          <w:tcPr>
            <w:tcW w:type="dxa" w:w="4703"/>
            <w:shd w:val="clear" w:color="auto" w:fill="F2F2F2"/>
          </w:tcPr>
          <w:p>
            <w:r>
              <w:rPr>
                <w:sz w:val="20"/>
              </w:rPr>
              <w:t>[South Korea] Comply with Korea MFDS MRL standards for each commodity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Barry Holloway, as the responsible person for Wheatbelt Storage Co Pty Ltd (RE RE-WA-2020-0188),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Barry Holloway</w:t>
            </w:r>
          </w:p>
        </w:tc>
      </w:tr>
      <w:tr>
        <w:tc>
          <w:tcPr>
            <w:tcW w:type="dxa" w:w="2835"/>
            <w:shd w:val="clear" w:color="auto" w:fill="DCE6F1"/>
          </w:tcPr>
          <w:p>
            <w:r>
              <w:rPr>
                <w:b/>
                <w:sz w:val="20"/>
              </w:rPr>
              <w:t>Date</w:t>
            </w:r>
          </w:p>
        </w:tc>
        <w:tc>
          <w:tcPr>
            <w:tcW w:type="dxa" w:w="5669"/>
          </w:tcPr>
          <w:p>
            <w:r>
              <w:rPr>
                <w:sz w:val="20"/>
              </w:rPr>
              <w:t>25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