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Cunderdin Grain</w:t>
            </w:r>
          </w:p>
        </w:tc>
      </w:tr>
      <w:tr>
        <w:tc>
          <w:tcPr>
            <w:tcW w:type="dxa" w:w="4536"/>
            <w:shd w:val="clear" w:color="auto" w:fill="1F497D"/>
            <w:vAlign w:val="center"/>
          </w:tcPr>
          <w:p>
            <w:r>
              <w:rPr>
                <w:b/>
                <w:color w:val="FFFFFF"/>
                <w:sz w:val="18"/>
              </w:rPr>
              <w:t>RE Number</w:t>
            </w:r>
          </w:p>
        </w:tc>
        <w:tc>
          <w:tcPr>
            <w:tcW w:type="dxa" w:w="4536"/>
          </w:tcPr>
          <w:p>
            <w:r>
              <w:rPr>
                <w:sz w:val="18"/>
              </w:rPr>
              <w:t>RE-WA-2020-0212</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20 Great Eastern Highway, Cunderdin WA 6407</w:t>
            </w:r>
          </w:p>
        </w:tc>
      </w:tr>
      <w:tr>
        <w:tc>
          <w:tcPr>
            <w:tcW w:type="dxa" w:w="4536"/>
            <w:shd w:val="clear" w:color="auto" w:fill="1F497D"/>
            <w:vAlign w:val="center"/>
          </w:tcPr>
          <w:p>
            <w:r>
              <w:rPr>
                <w:b/>
                <w:color w:val="FFFFFF"/>
                <w:sz w:val="18"/>
              </w:rPr>
              <w:t>Registered Commodity</w:t>
            </w:r>
          </w:p>
        </w:tc>
        <w:tc>
          <w:tcPr>
            <w:tcW w:type="dxa" w:w="4536"/>
          </w:tcPr>
          <w:p>
            <w:r>
              <w:rPr>
                <w:sz w:val="18"/>
              </w:rPr>
              <w:t>Walnuts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Jack Foley</w:t>
            </w:r>
          </w:p>
        </w:tc>
      </w:tr>
      <w:tr>
        <w:tc>
          <w:tcPr>
            <w:tcW w:type="dxa" w:w="4536"/>
            <w:shd w:val="clear" w:color="auto" w:fill="1F497D"/>
            <w:vAlign w:val="center"/>
          </w:tcPr>
          <w:p>
            <w:r>
              <w:rPr>
                <w:b/>
                <w:color w:val="FFFFFF"/>
                <w:sz w:val="18"/>
              </w:rPr>
              <w:t>Property Area</w:t>
            </w:r>
          </w:p>
        </w:tc>
        <w:tc>
          <w:tcPr>
            <w:tcW w:type="dxa" w:w="4536"/>
          </w:tcPr>
          <w:p>
            <w:r>
              <w:rPr>
                <w:sz w:val="18"/>
              </w:rPr>
              <w:t>70.0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27 January 2025</w:t>
            </w:r>
          </w:p>
        </w:tc>
      </w:tr>
      <w:tr>
        <w:tc>
          <w:tcPr>
            <w:tcW w:type="dxa" w:w="4536"/>
            <w:shd w:val="clear" w:color="auto" w:fill="1F497D"/>
            <w:vAlign w:val="center"/>
          </w:tcPr>
          <w:p>
            <w:r>
              <w:rPr>
                <w:b/>
                <w:color w:val="FFFFFF"/>
                <w:sz w:val="18"/>
              </w:rPr>
              <w:t>Next Review</w:t>
            </w:r>
          </w:p>
        </w:tc>
        <w:tc>
          <w:tcPr>
            <w:tcW w:type="dxa" w:w="4536"/>
          </w:tcPr>
          <w:p>
            <w:r>
              <w:rPr>
                <w:sz w:val="18"/>
              </w:rPr>
              <w:t>27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Cunderdin Grain used in nut processing and packing operations for export Walnuts.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Walnuts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Jack Foley</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3213" w:type="dxa"/>
          </w:tcPr>
          <w:p>
            <w:pPr>
              <w:jc w:val="center"/>
            </w:pPr>
            <w:r>
              <w:rPr>
                <w:b/>
                <w:color w:val="FFFFFF"/>
                <w:sz w:val="18"/>
              </w:rPr>
              <w:t>Date</w:t>
            </w:r>
          </w:p>
        </w:tc>
        <w:tc>
          <w:tcPr>
            <w:tcW w:type="dxa" w:w="3024"/>
            <w:shd w:val="clear" w:color="auto" w:fill="1F497D"/>
            <w:vAlign w:val="center"/>
            <w:tcW w:w="3213" w:type="dxa"/>
          </w:tcPr>
          <w:p>
            <w:pPr>
              <w:jc w:val="center"/>
            </w:pPr>
            <w:r>
              <w:rPr>
                <w:b/>
                <w:color w:val="FFFFFF"/>
                <w:sz w:val="18"/>
              </w:rPr>
              <w:t>Cleaned (✓/✗)</w:t>
            </w:r>
          </w:p>
        </w:tc>
        <w:tc>
          <w:tcPr>
            <w:tcW w:type="dxa" w:w="3024"/>
            <w:shd w:val="clear" w:color="auto" w:fill="1F497D"/>
            <w:vAlign w:val="center"/>
            <w:tcW w:w="3213" w:type="dxa"/>
          </w:tcPr>
          <w:p>
            <w:pPr>
              <w:jc w:val="center"/>
            </w:pPr>
            <w:r>
              <w:rPr>
                <w:b/>
                <w:color w:val="FFFFFF"/>
                <w:sz w:val="18"/>
              </w:rPr>
              <w:t>Staff Initial</w:t>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(27 January 2025), all areas of Cunderdin Grain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Jack Foley</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27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27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