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Avon Valley Exports</w:t>
            </w:r>
          </w:p>
        </w:tc>
      </w:tr>
      <w:tr>
        <w:tc>
          <w:tcPr>
            <w:tcW w:type="dxa" w:w="3118"/>
            <w:shd w:val="clear" w:color="auto" w:fill="DCE6F1"/>
            <w:vAlign w:val="center"/>
          </w:tcPr>
          <w:p>
            <w:r>
              <w:rPr>
                <w:b/>
                <w:sz w:val="18"/>
              </w:rPr>
              <w:t>RE Number</w:t>
            </w:r>
          </w:p>
        </w:tc>
        <w:tc>
          <w:tcPr>
            <w:tcW w:type="dxa" w:w="6236"/>
            <w:vAlign w:val="center"/>
          </w:tcPr>
          <w:p>
            <w:r>
              <w:rPr>
                <w:sz w:val="18"/>
              </w:rPr>
              <w:t>RE-WA-2021-0133</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22 Great Eastern Highway, Northam WA 6401</w:t>
            </w:r>
          </w:p>
        </w:tc>
      </w:tr>
      <w:tr>
        <w:tc>
          <w:tcPr>
            <w:tcW w:type="dxa" w:w="3118"/>
            <w:shd w:val="clear" w:color="auto" w:fill="DCE6F1"/>
            <w:vAlign w:val="center"/>
          </w:tcPr>
          <w:p>
            <w:r>
              <w:rPr>
                <w:b/>
                <w:sz w:val="18"/>
              </w:rPr>
              <w:t>Registered Commodity</w:t>
            </w:r>
          </w:p>
        </w:tc>
        <w:tc>
          <w:tcPr>
            <w:tcW w:type="dxa" w:w="6236"/>
            <w:vAlign w:val="center"/>
          </w:tcPr>
          <w:p>
            <w:r>
              <w:rPr>
                <w:sz w:val="18"/>
              </w:rPr>
              <w:t>Table Grapes</w:t>
            </w:r>
          </w:p>
        </w:tc>
      </w:tr>
      <w:tr>
        <w:tc>
          <w:tcPr>
            <w:tcW w:type="dxa" w:w="3118"/>
            <w:shd w:val="clear" w:color="auto" w:fill="DCE6F1"/>
            <w:vAlign w:val="center"/>
          </w:tcPr>
          <w:p>
            <w:r>
              <w:rPr>
                <w:b/>
                <w:sz w:val="18"/>
              </w:rPr>
              <w:t>Responsible Officer</w:t>
            </w:r>
          </w:p>
        </w:tc>
        <w:tc>
          <w:tcPr>
            <w:tcW w:type="dxa" w:w="6236"/>
            <w:vAlign w:val="center"/>
          </w:tcPr>
          <w:p>
            <w:r>
              <w:rPr>
                <w:sz w:val="18"/>
              </w:rPr>
              <w:t>Rosa De Luca</w:t>
            </w:r>
          </w:p>
        </w:tc>
      </w:tr>
      <w:tr>
        <w:tc>
          <w:tcPr>
            <w:tcW w:type="dxa" w:w="3118"/>
            <w:shd w:val="clear" w:color="auto" w:fill="DCE6F1"/>
            <w:vAlign w:val="center"/>
          </w:tcPr>
          <w:p>
            <w:r>
              <w:rPr>
                <w:b/>
                <w:sz w:val="18"/>
              </w:rPr>
              <w:t>Property Area</w:t>
            </w:r>
          </w:p>
        </w:tc>
        <w:tc>
          <w:tcPr>
            <w:tcW w:type="dxa" w:w="6236"/>
            <w:vAlign w:val="center"/>
          </w:tcPr>
          <w:p>
            <w:r>
              <w:rPr>
                <w:sz w:val="18"/>
              </w:rPr>
              <w:t>260.0 ha</w:t>
            </w:r>
          </w:p>
        </w:tc>
      </w:tr>
      <w:tr>
        <w:tc>
          <w:tcPr>
            <w:tcW w:type="dxa" w:w="3118"/>
            <w:shd w:val="clear" w:color="auto" w:fill="DCE6F1"/>
            <w:vAlign w:val="center"/>
          </w:tcPr>
          <w:p>
            <w:r>
              <w:rPr>
                <w:b/>
                <w:sz w:val="18"/>
              </w:rPr>
              <w:t>Year Established</w:t>
            </w:r>
          </w:p>
        </w:tc>
        <w:tc>
          <w:tcPr>
            <w:tcW w:type="dxa" w:w="6236"/>
            <w:vAlign w:val="center"/>
          </w:tcPr>
          <w:p>
            <w:r>
              <w:rPr>
                <w:sz w:val="18"/>
              </w:rPr>
              <w:t>2013</w:t>
            </w:r>
          </w:p>
        </w:tc>
      </w:tr>
      <w:tr>
        <w:tc>
          <w:tcPr>
            <w:tcW w:type="dxa" w:w="3118"/>
            <w:shd w:val="clear" w:color="auto" w:fill="DCE6F1"/>
            <w:vAlign w:val="center"/>
          </w:tcPr>
          <w:p>
            <w:r>
              <w:rPr>
                <w:b/>
                <w:sz w:val="18"/>
              </w:rPr>
              <w:t>Document Version</w:t>
            </w:r>
          </w:p>
        </w:tc>
        <w:tc>
          <w:tcPr>
            <w:tcW w:type="dxa" w:w="6236"/>
            <w:vAlign w:val="center"/>
          </w:tcPr>
          <w:p>
            <w:r>
              <w:rPr>
                <w:sz w:val="18"/>
              </w:rPr>
              <w:t>2.2</w:t>
            </w:r>
          </w:p>
        </w:tc>
      </w:tr>
      <w:tr>
        <w:tc>
          <w:tcPr>
            <w:tcW w:type="dxa" w:w="3118"/>
            <w:shd w:val="clear" w:color="auto" w:fill="DCE6F1"/>
            <w:vAlign w:val="center"/>
          </w:tcPr>
          <w:p>
            <w:r>
              <w:rPr>
                <w:b/>
                <w:sz w:val="18"/>
              </w:rPr>
              <w:t>Plan Date</w:t>
            </w:r>
          </w:p>
        </w:tc>
        <w:tc>
          <w:tcPr>
            <w:tcW w:type="dxa" w:w="6236"/>
            <w:vAlign w:val="center"/>
          </w:tcPr>
          <w:p>
            <w:r>
              <w:rPr>
                <w:sz w:val="18"/>
              </w:rPr>
              <w:t>3 March 2024</w:t>
            </w:r>
          </w:p>
        </w:tc>
      </w:tr>
      <w:tr>
        <w:tc>
          <w:tcPr>
            <w:tcW w:type="dxa" w:w="3118"/>
            <w:shd w:val="clear" w:color="auto" w:fill="DCE6F1"/>
            <w:vAlign w:val="center"/>
          </w:tcPr>
          <w:p>
            <w:r>
              <w:rPr>
                <w:b/>
                <w:sz w:val="18"/>
              </w:rPr>
              <w:t>Next Review</w:t>
            </w:r>
          </w:p>
        </w:tc>
        <w:tc>
          <w:tcPr>
            <w:tcW w:type="dxa" w:w="6236"/>
            <w:vAlign w:val="center"/>
          </w:tcPr>
          <w:p>
            <w:r>
              <w:rPr>
                <w:sz w:val="18"/>
              </w:rPr>
              <w:t>3 March 2026</w:t>
            </w:r>
          </w:p>
        </w:tc>
      </w:tr>
    </w:tbl>
    <w:p/>
    <w:p>
      <w:pPr>
        <w:pStyle w:val="Heading1"/>
      </w:pPr>
      <w:r>
        <w:rPr>
          <w:color w:val="1F497D"/>
        </w:rPr>
        <w:t>1.  OVERVIEW</w:t>
      </w:r>
    </w:p>
    <w:p>
      <w:r>
        <w:rPr>
          <w:b w:val="0"/>
          <w:i w:val="0"/>
          <w:sz w:val="20"/>
        </w:rPr>
        <w:t>Avon Valley Exports is a registered export establishment located at 22 Great Eastern Highway, Northam WA 6401, WA. The establishment holds RE Number RE-WA-2021-0133 and is registered to handle and export Table Grapes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Packing Hall</w:t>
            </w:r>
          </w:p>
        </w:tc>
        <w:tc>
          <w:tcPr>
            <w:tcW w:type="dxa" w:w="1587"/>
            <w:shd w:val="clear" w:color="auto" w:fill="FFFFFF"/>
            <w:vAlign w:val="center"/>
          </w:tcPr>
          <w:p>
            <w:r>
              <w:rPr>
                <w:sz w:val="18"/>
              </w:rPr>
              <w:t>35×22 m</w:t>
            </w:r>
          </w:p>
        </w:tc>
        <w:tc>
          <w:tcPr>
            <w:tcW w:type="dxa" w:w="1984"/>
            <w:shd w:val="clear" w:color="auto" w:fill="FFFFFF"/>
            <w:vAlign w:val="center"/>
          </w:tcPr>
          <w:p>
            <w:r>
              <w:rPr>
                <w:sz w:val="18"/>
              </w:rPr>
              <w:t>Tilt-up concrete,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CS1</w:t>
            </w:r>
          </w:p>
        </w:tc>
        <w:tc>
          <w:tcPr>
            <w:tcW w:type="dxa" w:w="3118"/>
            <w:shd w:val="clear" w:color="auto" w:fill="F2F2F2"/>
            <w:vAlign w:val="center"/>
          </w:tcPr>
          <w:p>
            <w:r>
              <w:rPr>
                <w:sz w:val="18"/>
              </w:rPr>
              <w:t>Cool Store 1</w:t>
            </w:r>
          </w:p>
        </w:tc>
        <w:tc>
          <w:tcPr>
            <w:tcW w:type="dxa" w:w="1587"/>
            <w:shd w:val="clear" w:color="auto" w:fill="F2F2F2"/>
            <w:vAlign w:val="center"/>
          </w:tcPr>
          <w:p>
            <w:r>
              <w:rPr>
                <w:sz w:val="18"/>
              </w:rPr>
              <w:t>18×14 m</w:t>
            </w:r>
          </w:p>
        </w:tc>
        <w:tc>
          <w:tcPr>
            <w:tcW w:type="dxa" w:w="1984"/>
            <w:shd w:val="clear" w:color="auto" w:fill="F2F2F2"/>
            <w:vAlign w:val="center"/>
          </w:tcPr>
          <w:p>
            <w:r>
              <w:rPr>
                <w:sz w:val="18"/>
              </w:rPr>
              <w:t>Insulated panel, R410A refrigeration</w:t>
            </w:r>
          </w:p>
        </w:tc>
        <w:tc>
          <w:tcPr>
            <w:tcW w:type="dxa" w:w="2381"/>
            <w:shd w:val="clear" w:color="auto" w:fill="F2F2F2"/>
            <w:vAlign w:val="center"/>
          </w:tcPr>
          <w:p>
            <w:r>
              <w:rPr>
                <w:sz w:val="18"/>
              </w:rPr>
              <w:t>East of PH</w:t>
            </w:r>
          </w:p>
        </w:tc>
      </w:tr>
      <w:tr>
        <w:tc>
          <w:tcPr>
            <w:tcW w:type="dxa" w:w="850"/>
            <w:shd w:val="clear" w:color="auto" w:fill="FFFFFF"/>
            <w:vAlign w:val="center"/>
          </w:tcPr>
          <w:p>
            <w:r>
              <w:rPr>
                <w:sz w:val="18"/>
              </w:rPr>
              <w:t>CS2</w:t>
            </w:r>
          </w:p>
        </w:tc>
        <w:tc>
          <w:tcPr>
            <w:tcW w:type="dxa" w:w="3118"/>
            <w:shd w:val="clear" w:color="auto" w:fill="FFFFFF"/>
            <w:vAlign w:val="center"/>
          </w:tcPr>
          <w:p>
            <w:r>
              <w:rPr>
                <w:sz w:val="18"/>
              </w:rPr>
              <w:t>Cool Store 2</w:t>
            </w:r>
          </w:p>
        </w:tc>
        <w:tc>
          <w:tcPr>
            <w:tcW w:type="dxa" w:w="1587"/>
            <w:shd w:val="clear" w:color="auto" w:fill="FFFFFF"/>
            <w:vAlign w:val="center"/>
          </w:tcPr>
          <w:p>
            <w:r>
              <w:rPr>
                <w:sz w:val="18"/>
              </w:rPr>
              <w:t>18×14 m</w:t>
            </w:r>
          </w:p>
        </w:tc>
        <w:tc>
          <w:tcPr>
            <w:tcW w:type="dxa" w:w="1984"/>
            <w:shd w:val="clear" w:color="auto" w:fill="FFFFFF"/>
            <w:vAlign w:val="center"/>
          </w:tcPr>
          <w:p>
            <w:r>
              <w:rPr>
                <w:sz w:val="18"/>
              </w:rPr>
              <w:t>Insulated panel, R410A refrigeration</w:t>
            </w:r>
          </w:p>
        </w:tc>
        <w:tc>
          <w:tcPr>
            <w:tcW w:type="dxa" w:w="2381"/>
            <w:shd w:val="clear" w:color="auto" w:fill="FFFFFF"/>
            <w:vAlign w:val="center"/>
          </w:tcPr>
          <w:p>
            <w:r>
              <w:rPr>
                <w:sz w:val="18"/>
              </w:rPr>
              <w:t>East of CS1</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SW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 in PH</w:t>
            </w:r>
          </w:p>
        </w:tc>
        <w:tc>
          <w:tcPr>
            <w:tcW w:type="dxa" w:w="2381"/>
            <w:shd w:val="clear" w:color="auto" w:fill="F2F2F2"/>
            <w:vAlign w:val="center"/>
          </w:tcPr>
          <w:p>
            <w:r>
              <w:rPr>
                <w:sz w:val="18"/>
              </w:rPr>
              <w:t>PH north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Fruit washing and brushing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Pre-grading hygiene</w:t>
            </w:r>
          </w:p>
        </w:tc>
      </w:tr>
      <w:tr>
        <w:tc>
          <w:tcPr>
            <w:tcW w:type="dxa" w:w="3685"/>
            <w:shd w:val="clear" w:color="auto" w:fill="F2F2F2"/>
            <w:vAlign w:val="center"/>
          </w:tcPr>
          <w:p>
            <w:r>
              <w:rPr>
                <w:sz w:val="18"/>
              </w:rPr>
              <w:t>Optical grader (weight/colour/defect)</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grade sorting</w:t>
            </w:r>
          </w:p>
        </w:tc>
      </w:tr>
      <w:tr>
        <w:tc>
          <w:tcPr>
            <w:tcW w:type="dxa" w:w="3685"/>
            <w:shd w:val="clear" w:color="auto" w:fill="FFFFFF"/>
            <w:vAlign w:val="center"/>
          </w:tcPr>
          <w:p>
            <w:r>
              <w:rPr>
                <w:sz w:val="18"/>
              </w:rPr>
              <w:t>Sticker/label applicator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Retail and export labelling</w:t>
            </w:r>
          </w:p>
        </w:tc>
      </w:tr>
      <w:tr>
        <w:tc>
          <w:tcPr>
            <w:tcW w:type="dxa" w:w="3685"/>
            <w:shd w:val="clear" w:color="auto" w:fill="F2F2F2"/>
            <w:vAlign w:val="center"/>
          </w:tcPr>
          <w:p>
            <w:r>
              <w:rPr>
                <w:sz w:val="18"/>
              </w:rPr>
              <w:t>Palletiser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 build</w:t>
            </w:r>
          </w:p>
        </w:tc>
      </w:tr>
      <w:tr>
        <w:tc>
          <w:tcPr>
            <w:tcW w:type="dxa" w:w="3685"/>
            <w:shd w:val="clear" w:color="auto" w:fill="FFFFFF"/>
            <w:vAlign w:val="center"/>
          </w:tcPr>
          <w:p>
            <w:r>
              <w:rPr>
                <w:sz w:val="18"/>
              </w:rPr>
              <w:t>Metal detector</w:t>
            </w:r>
          </w:p>
        </w:tc>
        <w:tc>
          <w:tcPr>
            <w:tcW w:type="dxa" w:w="1984"/>
            <w:shd w:val="clear" w:color="auto" w:fill="FFFFFF"/>
            <w:vAlign w:val="center"/>
          </w:tcPr>
          <w:p>
            <w:r>
              <w:rPr>
                <w:sz w:val="18"/>
              </w:rPr>
              <w:t>CCP inline</w:t>
            </w:r>
          </w:p>
        </w:tc>
        <w:tc>
          <w:tcPr>
            <w:tcW w:type="dxa" w:w="4252"/>
            <w:shd w:val="clear" w:color="auto" w:fill="FFFFFF"/>
            <w:vAlign w:val="center"/>
          </w:tcPr>
          <w:p>
            <w:r>
              <w:rPr>
                <w:sz w:val="18"/>
              </w:rPr>
              <w:t>Food safety — export compliance</w:t>
            </w:r>
          </w:p>
        </w:tc>
      </w:tr>
      <w:tr>
        <w:tc>
          <w:tcPr>
            <w:tcW w:type="dxa" w:w="3685"/>
            <w:shd w:val="clear" w:color="auto" w:fill="F2F2F2"/>
            <w:vAlign w:val="center"/>
          </w:tcPr>
          <w:p>
            <w:r>
              <w:rPr>
                <w:sz w:val="18"/>
              </w:rPr>
              <w:t>Weigh-price labeller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Consumer pack verification</w:t>
            </w:r>
          </w:p>
        </w:tc>
      </w:tr>
    </w:tbl>
    <w:p/>
    <w:p>
      <w:pPr>
        <w:pStyle w:val="Heading1"/>
      </w:pPr>
      <w:r>
        <w:rPr>
          <w:color w:val="1F497D"/>
        </w:rPr>
        <w:t>4.  FACILITIES AND SERWAES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Table Grapes.</w:t>
      </w:r>
    </w:p>
    <w:p>
      <w:pPr>
        <w:pStyle w:val="Heading2"/>
      </w:pPr>
      <w:r>
        <w:t>4.2  Lighting (C2)</w:t>
      </w:r>
    </w:p>
    <w:p>
      <w:r>
        <w:rPr>
          <w:b w:val="0"/>
          <w:i w:val="0"/>
          <w:sz w:val="20"/>
        </w:rPr>
        <w:t>High-efficiency LED battens throughout: 520 lux packing hall, 400 lux cool store entry, 380 lux dispatch bay. Sensor-activated step-lighting along conveyor access walkways. All fittings shatterproof-sleeved, IP54 rated minimum.</w:t>
      </w:r>
    </w:p>
    <w:p>
      <w:pPr>
        <w:pStyle w:val="Heading2"/>
      </w:pPr>
      <w:r>
        <w:t>4.3  Handwashing and Toilet Facilities (C3)</w:t>
      </w:r>
    </w:p>
    <w:p>
      <w:r>
        <w:rPr>
          <w:b w:val="0"/>
          <w:i w:val="0"/>
          <w:sz w:val="20"/>
        </w:rPr>
        <w:t>An amenities block (1 toilet, 1 hand basin) is located at the site administration building, 125 m from the packing hall. No hand basin or wash point is installed within the processing area — workers must leave the production environment to access handwashing facilities.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Purpose-built construction with cleanability designed in: coved epoxy floors, smooth coated-steel wall panels, no horizontal ledges on equipment or structure, all joints sealed with food-grade silicone, recessed floor drain channels with removable SS covers. Annual deep-clean by specialist contractor supplements weekly programme.</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(WM-SOP-127, version 2.2,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Fruit culls and trim waste</w:t>
            </w:r>
          </w:p>
        </w:tc>
        <w:tc>
          <w:tcPr>
            <w:tcW w:type="dxa" w:w="4252"/>
            <w:shd w:val="clear" w:color="auto" w:fill="FFFFFF"/>
            <w:vAlign w:val="center"/>
          </w:tcPr>
          <w:p>
            <w:r>
              <w:rPr>
                <w:sz w:val="18"/>
              </w:rPr>
              <w:t>Bins at grading line, hourly removal to compost bay</w:t>
            </w:r>
          </w:p>
        </w:tc>
        <w:tc>
          <w:tcPr>
            <w:tcW w:type="dxa" w:w="2835"/>
            <w:shd w:val="clear" w:color="auto" w:fill="FFFFFF"/>
            <w:vAlign w:val="center"/>
          </w:tcPr>
          <w:p>
            <w:r>
              <w:rPr>
                <w:sz w:val="18"/>
              </w:rPr>
              <w:t>Daily</w:t>
            </w:r>
          </w:p>
        </w:tc>
      </w:tr>
      <w:tr>
        <w:tc>
          <w:tcPr>
            <w:tcW w:type="dxa" w:w="2835"/>
            <w:shd w:val="clear" w:color="auto" w:fill="F2F2F2"/>
            <w:vAlign w:val="center"/>
          </w:tcPr>
          <w:p>
            <w:r>
              <w:rPr>
                <w:sz w:val="18"/>
              </w:rPr>
              <w:t>Washdown water</w:t>
            </w:r>
          </w:p>
        </w:tc>
        <w:tc>
          <w:tcPr>
            <w:tcW w:type="dxa" w:w="4252"/>
            <w:shd w:val="clear" w:color="auto" w:fill="F2F2F2"/>
            <w:vAlign w:val="center"/>
          </w:tcPr>
          <w:p>
            <w:r>
              <w:rPr>
                <w:sz w:val="18"/>
              </w:rPr>
              <w:t>Recessed drains → grease trap → trade waste</w:t>
            </w:r>
          </w:p>
        </w:tc>
        <w:tc>
          <w:tcPr>
            <w:tcW w:type="dxa" w:w="2835"/>
            <w:shd w:val="clear" w:color="auto" w:fill="F2F2F2"/>
            <w:vAlign w:val="center"/>
          </w:tcPr>
          <w:p>
            <w:r>
              <w:rPr>
                <w:sz w:val="18"/>
              </w:rPr>
              <w:t>Weekly grease trap inspection</w:t>
            </w:r>
          </w:p>
        </w:tc>
      </w:tr>
      <w:tr>
        <w:tc>
          <w:tcPr>
            <w:tcW w:type="dxa" w:w="2835"/>
            <w:shd w:val="clear" w:color="auto" w:fill="FFFFFF"/>
            <w:vAlign w:val="center"/>
          </w:tcPr>
          <w:p>
            <w:r>
              <w:rPr>
                <w:sz w:val="18"/>
              </w:rPr>
              <w:t>Packaging waste (film, cardboard, foam)</w:t>
            </w:r>
          </w:p>
        </w:tc>
        <w:tc>
          <w:tcPr>
            <w:tcW w:type="dxa" w:w="4252"/>
            <w:shd w:val="clear" w:color="auto" w:fill="FFFFFF"/>
            <w:vAlign w:val="center"/>
          </w:tcPr>
          <w:p>
            <w:r>
              <w:rPr>
                <w:sz w:val="18"/>
              </w:rPr>
              <w:t>Baler in external waste bay</w:t>
            </w:r>
          </w:p>
        </w:tc>
        <w:tc>
          <w:tcPr>
            <w:tcW w:type="dxa" w:w="2835"/>
            <w:shd w:val="clear" w:color="auto" w:fill="FFFFFF"/>
            <w:vAlign w:val="center"/>
          </w:tcPr>
          <w:p>
            <w:r>
              <w:rPr>
                <w:sz w:val="18"/>
              </w:rPr>
              <w:t>Fortnightly collection</w:t>
            </w:r>
          </w:p>
        </w:tc>
      </w:tr>
      <w:tr>
        <w:tc>
          <w:tcPr>
            <w:tcW w:type="dxa" w:w="2835"/>
            <w:shd w:val="clear" w:color="auto" w:fill="F2F2F2"/>
            <w:vAlign w:val="center"/>
          </w:tcPr>
          <w:p>
            <w:r>
              <w:rPr>
                <w:sz w:val="18"/>
              </w:rPr>
              <w:t>Chemical containers</w:t>
            </w:r>
          </w:p>
        </w:tc>
        <w:tc>
          <w:tcPr>
            <w:tcW w:type="dxa" w:w="4252"/>
            <w:shd w:val="clear" w:color="auto" w:fill="F2F2F2"/>
            <w:vAlign w:val="center"/>
          </w:tcPr>
          <w:p>
            <w:r>
              <w:rPr>
                <w:sz w:val="18"/>
              </w:rPr>
              <w:t>Sealed store, labelled</w:t>
            </w:r>
          </w:p>
        </w:tc>
        <w:tc>
          <w:tcPr>
            <w:tcW w:type="dxa" w:w="2835"/>
            <w:shd w:val="clear" w:color="auto" w:fill="F2F2F2"/>
            <w:vAlign w:val="center"/>
          </w:tcPr>
          <w:p>
            <w:r>
              <w:rPr>
                <w:sz w:val="18"/>
              </w:rPr>
              <w:t>Quarterly licensed disposal</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4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January 2025).</w:t>
      </w:r>
    </w:p>
    <w:p/>
    <w:p>
      <w:pPr>
        <w:pStyle w:val="Heading1"/>
      </w:pPr>
      <w:r>
        <w:rPr>
          <w:color w:val="1F497D"/>
        </w:rPr>
        <w:t>8.  SERWAES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CitiPower/Powercor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Rosa De Luca</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3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