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Avon Valley Exports</w:t>
            </w:r>
          </w:p>
        </w:tc>
      </w:tr>
      <w:tr>
        <w:tc>
          <w:tcPr>
            <w:tcW w:type="dxa" w:w="3118"/>
            <w:shd w:val="clear" w:color="auto" w:fill="DCE6F1"/>
          </w:tcPr>
          <w:p>
            <w:r>
              <w:rPr>
                <w:b/>
                <w:sz w:val="18"/>
              </w:rPr>
              <w:t>RE Number</w:t>
            </w:r>
          </w:p>
        </w:tc>
        <w:tc>
          <w:tcPr>
            <w:tcW w:type="dxa" w:w="6236"/>
          </w:tcPr>
          <w:p>
            <w:r>
              <w:rPr>
                <w:sz w:val="18"/>
              </w:rPr>
              <w:t>RE-WA-2021-0133</w:t>
            </w:r>
          </w:p>
        </w:tc>
      </w:tr>
      <w:tr>
        <w:tc>
          <w:tcPr>
            <w:tcW w:type="dxa" w:w="3118"/>
            <w:shd w:val="clear" w:color="auto" w:fill="DCE6F1"/>
          </w:tcPr>
          <w:p>
            <w:r>
              <w:rPr>
                <w:b/>
                <w:sz w:val="18"/>
              </w:rPr>
              <w:t>State</w:t>
            </w:r>
          </w:p>
        </w:tc>
        <w:tc>
          <w:tcPr>
            <w:tcW w:type="dxa" w:w="6236"/>
            <w:shd w:val="clear" w:color="auto" w:fill="F2F2F2"/>
          </w:tcPr>
          <w:p>
            <w:r>
              <w:rPr>
                <w:sz w:val="18"/>
              </w:rPr>
              <w:t>WA</w:t>
            </w:r>
          </w:p>
        </w:tc>
      </w:tr>
      <w:tr>
        <w:tc>
          <w:tcPr>
            <w:tcW w:type="dxa" w:w="3118"/>
            <w:shd w:val="clear" w:color="auto" w:fill="DCE6F1"/>
          </w:tcPr>
          <w:p>
            <w:r>
              <w:rPr>
                <w:b/>
                <w:sz w:val="18"/>
              </w:rPr>
              <w:t>Property Address</w:t>
            </w:r>
          </w:p>
        </w:tc>
        <w:tc>
          <w:tcPr>
            <w:tcW w:type="dxa" w:w="6236"/>
          </w:tcPr>
          <w:p>
            <w:r>
              <w:rPr>
                <w:sz w:val="18"/>
              </w:rPr>
              <w:t>22 Great Eastern Highway, Northam WA 6401</w:t>
            </w:r>
          </w:p>
        </w:tc>
      </w:tr>
      <w:tr>
        <w:tc>
          <w:tcPr>
            <w:tcW w:type="dxa" w:w="3118"/>
            <w:shd w:val="clear" w:color="auto" w:fill="DCE6F1"/>
          </w:tcPr>
          <w:p>
            <w:r>
              <w:rPr>
                <w:b/>
                <w:sz w:val="18"/>
              </w:rPr>
              <w:t>Registered Commodity</w:t>
            </w:r>
          </w:p>
        </w:tc>
        <w:tc>
          <w:tcPr>
            <w:tcW w:type="dxa" w:w="6236"/>
            <w:shd w:val="clear" w:color="auto" w:fill="F2F2F2"/>
          </w:tcPr>
          <w:p>
            <w:r>
              <w:rPr>
                <w:sz w:val="18"/>
              </w:rPr>
              <w:t>Canola Seed</w:t>
            </w:r>
          </w:p>
        </w:tc>
      </w:tr>
      <w:tr>
        <w:tc>
          <w:tcPr>
            <w:tcW w:type="dxa" w:w="3118"/>
            <w:shd w:val="clear" w:color="auto" w:fill="DCE6F1"/>
          </w:tcPr>
          <w:p>
            <w:r>
              <w:rPr>
                <w:b/>
                <w:sz w:val="18"/>
              </w:rPr>
              <w:t>Map Version</w:t>
            </w:r>
          </w:p>
        </w:tc>
        <w:tc>
          <w:tcPr>
            <w:tcW w:type="dxa" w:w="6236"/>
          </w:tcPr>
          <w:p>
            <w:r>
              <w:rPr>
                <w:sz w:val="18"/>
              </w:rPr>
              <w:t>v4.7</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Operations Lead</w:t>
            </w:r>
          </w:p>
        </w:tc>
      </w:tr>
    </w:tbl>
    <w:p/>
    <w:p>
      <w:pPr>
        <w:spacing w:before="200" w:after="60"/>
      </w:pPr>
      <w:r>
        <w:rPr>
          <w:b/>
          <w:color w:val="1F497D"/>
          <w:sz w:val="26"/>
        </w:rPr>
        <w:t>1. Pest Control System Overview</w:t>
      </w:r>
    </w:p>
    <w:p>
      <w:r>
        <w:rPr>
          <w:b w:val="0"/>
          <w:i w:val="0"/>
          <w:sz w:val="18"/>
        </w:rPr>
        <w:t>Integrated pest management applies rodent surveillance using 18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Loose anchor</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Cracked lid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Loose anchor</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Avon Valley Exports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