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FARM MANAGEMENT PLAN</w:t>
      </w:r>
    </w:p>
    <w:p/>
    <w:p>
      <w:pPr>
        <w:jc w:val="center"/>
      </w:pPr>
      <w:r>
        <w:rPr>
          <w:i/>
          <w:sz w:val="20"/>
        </w:rPr>
        <w:t>Registered Establishment — Export Control (Plants and Plant Products) Rules 2021</w:t>
      </w:r>
    </w:p>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Establishment Name</w:t>
            </w:r>
          </w:p>
        </w:tc>
        <w:tc>
          <w:tcPr>
            <w:tcW w:type="dxa" w:w="6236"/>
            <w:vAlign w:val="center"/>
          </w:tcPr>
          <w:p>
            <w:r>
              <w:rPr>
                <w:sz w:val="18"/>
              </w:rPr>
              <w:t>Fitzgerald River Grain</w:t>
            </w:r>
          </w:p>
        </w:tc>
      </w:tr>
      <w:tr>
        <w:tc>
          <w:tcPr>
            <w:tcW w:type="dxa" w:w="3118"/>
            <w:shd w:val="clear" w:color="auto" w:fill="DCE6F1"/>
            <w:vAlign w:val="center"/>
          </w:tcPr>
          <w:p>
            <w:r>
              <w:rPr>
                <w:b/>
                <w:sz w:val="18"/>
              </w:rPr>
              <w:t>RE Number</w:t>
            </w:r>
          </w:p>
        </w:tc>
        <w:tc>
          <w:tcPr>
            <w:tcW w:type="dxa" w:w="6236"/>
            <w:vAlign w:val="center"/>
          </w:tcPr>
          <w:p>
            <w:r>
              <w:rPr>
                <w:sz w:val="18"/>
              </w:rPr>
              <w:t>RE-WA-2022-0144</w:t>
            </w:r>
          </w:p>
        </w:tc>
      </w:tr>
      <w:tr>
        <w:tc>
          <w:tcPr>
            <w:tcW w:type="dxa" w:w="3118"/>
            <w:shd w:val="clear" w:color="auto" w:fill="DCE6F1"/>
            <w:vAlign w:val="center"/>
          </w:tcPr>
          <w:p>
            <w:r>
              <w:rPr>
                <w:b/>
                <w:sz w:val="18"/>
              </w:rPr>
              <w:t>State / Territory</w:t>
            </w:r>
          </w:p>
        </w:tc>
        <w:tc>
          <w:tcPr>
            <w:tcW w:type="dxa" w:w="6236"/>
            <w:vAlign w:val="center"/>
          </w:tcPr>
          <w:p>
            <w:r>
              <w:rPr>
                <w:sz w:val="18"/>
              </w:rPr>
              <w:t>WA</w:t>
            </w:r>
          </w:p>
        </w:tc>
      </w:tr>
      <w:tr>
        <w:tc>
          <w:tcPr>
            <w:tcW w:type="dxa" w:w="3118"/>
            <w:shd w:val="clear" w:color="auto" w:fill="DCE6F1"/>
            <w:vAlign w:val="center"/>
          </w:tcPr>
          <w:p>
            <w:r>
              <w:rPr>
                <w:b/>
                <w:sz w:val="18"/>
              </w:rPr>
              <w:t>Property Address</w:t>
            </w:r>
          </w:p>
        </w:tc>
        <w:tc>
          <w:tcPr>
            <w:tcW w:type="dxa" w:w="6236"/>
            <w:vAlign w:val="center"/>
          </w:tcPr>
          <w:p>
            <w:r>
              <w:rPr>
                <w:sz w:val="18"/>
              </w:rPr>
              <w:t>Lot 3 South Coast Highway, Ravensthorpe WA 6346</w:t>
            </w:r>
          </w:p>
        </w:tc>
      </w:tr>
      <w:tr>
        <w:tc>
          <w:tcPr>
            <w:tcW w:type="dxa" w:w="3118"/>
            <w:shd w:val="clear" w:color="auto" w:fill="DCE6F1"/>
            <w:vAlign w:val="center"/>
          </w:tcPr>
          <w:p>
            <w:r>
              <w:rPr>
                <w:b/>
                <w:sz w:val="18"/>
              </w:rPr>
              <w:t>Registered Commodity</w:t>
            </w:r>
          </w:p>
        </w:tc>
        <w:tc>
          <w:tcPr>
            <w:tcW w:type="dxa" w:w="6236"/>
            <w:vAlign w:val="center"/>
          </w:tcPr>
          <w:p>
            <w:r>
              <w:rPr>
                <w:sz w:val="18"/>
              </w:rPr>
              <w:t>Lentils</w:t>
            </w:r>
          </w:p>
        </w:tc>
      </w:tr>
      <w:tr>
        <w:tc>
          <w:tcPr>
            <w:tcW w:type="dxa" w:w="3118"/>
            <w:shd w:val="clear" w:color="auto" w:fill="DCE6F1"/>
            <w:vAlign w:val="center"/>
          </w:tcPr>
          <w:p>
            <w:r>
              <w:rPr>
                <w:b/>
                <w:sz w:val="18"/>
              </w:rPr>
              <w:t>Responsible Officer</w:t>
            </w:r>
          </w:p>
        </w:tc>
        <w:tc>
          <w:tcPr>
            <w:tcW w:type="dxa" w:w="6236"/>
            <w:vAlign w:val="center"/>
          </w:tcPr>
          <w:p>
            <w:r>
              <w:rPr>
                <w:sz w:val="18"/>
              </w:rPr>
              <w:t>Fay Jenkinson</w:t>
            </w:r>
          </w:p>
        </w:tc>
      </w:tr>
      <w:tr>
        <w:tc>
          <w:tcPr>
            <w:tcW w:type="dxa" w:w="3118"/>
            <w:shd w:val="clear" w:color="auto" w:fill="DCE6F1"/>
            <w:vAlign w:val="center"/>
          </w:tcPr>
          <w:p>
            <w:r>
              <w:rPr>
                <w:b/>
                <w:sz w:val="18"/>
              </w:rPr>
              <w:t>Property Area</w:t>
            </w:r>
          </w:p>
        </w:tc>
        <w:tc>
          <w:tcPr>
            <w:tcW w:type="dxa" w:w="6236"/>
            <w:vAlign w:val="center"/>
          </w:tcPr>
          <w:p>
            <w:r>
              <w:rPr>
                <w:sz w:val="18"/>
              </w:rPr>
              <w:t>530.0 ha</w:t>
            </w:r>
          </w:p>
        </w:tc>
      </w:tr>
      <w:tr>
        <w:tc>
          <w:tcPr>
            <w:tcW w:type="dxa" w:w="3118"/>
            <w:shd w:val="clear" w:color="auto" w:fill="DCE6F1"/>
            <w:vAlign w:val="center"/>
          </w:tcPr>
          <w:p>
            <w:r>
              <w:rPr>
                <w:b/>
                <w:sz w:val="18"/>
              </w:rPr>
              <w:t>Year Established</w:t>
            </w:r>
          </w:p>
        </w:tc>
        <w:tc>
          <w:tcPr>
            <w:tcW w:type="dxa" w:w="6236"/>
            <w:vAlign w:val="center"/>
          </w:tcPr>
          <w:p>
            <w:r>
              <w:rPr>
                <w:sz w:val="18"/>
              </w:rPr>
              <w:t>2019</w:t>
            </w:r>
          </w:p>
        </w:tc>
      </w:tr>
      <w:tr>
        <w:tc>
          <w:tcPr>
            <w:tcW w:type="dxa" w:w="3118"/>
            <w:shd w:val="clear" w:color="auto" w:fill="DCE6F1"/>
            <w:vAlign w:val="center"/>
          </w:tcPr>
          <w:p>
            <w:r>
              <w:rPr>
                <w:b/>
                <w:sz w:val="18"/>
              </w:rPr>
              <w:t>Document Version</w:t>
            </w:r>
          </w:p>
        </w:tc>
        <w:tc>
          <w:tcPr>
            <w:tcW w:type="dxa" w:w="6236"/>
            <w:vAlign w:val="center"/>
          </w:tcPr>
          <w:p>
            <w:r>
              <w:rPr>
                <w:sz w:val="18"/>
              </w:rPr>
              <w:t>2.4</w:t>
            </w:r>
          </w:p>
        </w:tc>
      </w:tr>
      <w:tr>
        <w:tc>
          <w:tcPr>
            <w:tcW w:type="dxa" w:w="3118"/>
            <w:shd w:val="clear" w:color="auto" w:fill="DCE6F1"/>
            <w:vAlign w:val="center"/>
          </w:tcPr>
          <w:p>
            <w:r>
              <w:rPr>
                <w:b/>
                <w:sz w:val="18"/>
              </w:rPr>
              <w:t>Plan Date</w:t>
            </w:r>
          </w:p>
        </w:tc>
        <w:tc>
          <w:tcPr>
            <w:tcW w:type="dxa" w:w="6236"/>
            <w:vAlign w:val="center"/>
          </w:tcPr>
          <w:p>
            <w:r>
              <w:rPr>
                <w:sz w:val="18"/>
              </w:rPr>
              <w:t>12 May 2024</w:t>
            </w:r>
          </w:p>
        </w:tc>
      </w:tr>
      <w:tr>
        <w:tc>
          <w:tcPr>
            <w:tcW w:type="dxa" w:w="3118"/>
            <w:shd w:val="clear" w:color="auto" w:fill="DCE6F1"/>
            <w:vAlign w:val="center"/>
          </w:tcPr>
          <w:p>
            <w:r>
              <w:rPr>
                <w:b/>
                <w:sz w:val="18"/>
              </w:rPr>
              <w:t>Next Review</w:t>
            </w:r>
          </w:p>
        </w:tc>
        <w:tc>
          <w:tcPr>
            <w:tcW w:type="dxa" w:w="6236"/>
            <w:vAlign w:val="center"/>
          </w:tcPr>
          <w:p>
            <w:r>
              <w:rPr>
                <w:sz w:val="18"/>
              </w:rPr>
              <w:t>12 May 2026</w:t>
            </w:r>
          </w:p>
        </w:tc>
      </w:tr>
    </w:tbl>
    <w:p/>
    <w:p>
      <w:pPr>
        <w:pStyle w:val="Heading1"/>
      </w:pPr>
      <w:r>
        <w:rPr>
          <w:color w:val="1F497D"/>
        </w:rPr>
        <w:t>1.  OVERVIEW</w:t>
      </w:r>
    </w:p>
    <w:p>
      <w:r>
        <w:rPr>
          <w:b w:val="0"/>
          <w:i w:val="0"/>
          <w:sz w:val="20"/>
        </w:rPr>
        <w:t>Fitzgerald River Grain is a registered export establishment located at Lot 3 South Coast Highway, Ravensthorpe WA 6346, WA. The establishment holds RE Number RE-WA-2022-0144 and is registered to handle and export Lentils under the Export Control (Plants and Plant Products) Rules 2021. This Farm Management Plan documents the physical infrastructure, equipment, facilities, design standards, waste management arrangements and establishment condition relevant to compliance with Chapter 4 of the Rules and the DAFF Performance Standards IMLS-12-3742.</w:t>
      </w:r>
    </w:p>
    <w:p/>
    <w:p>
      <w:pPr>
        <w:pStyle w:val="Heading1"/>
      </w:pPr>
      <w:r>
        <w:rPr>
          <w:color w:val="1F497D"/>
        </w:rPr>
        <w:t>2.  BUILDINGS AND INFRASTRUCTURE</w:t>
      </w:r>
    </w:p>
    <w:p>
      <w:r>
        <w:rPr>
          <w:i/>
          <w:color w:val="555555"/>
          <w:sz w:val="18"/>
        </w:rPr>
        <w:t>Rules s4-2 — buildings, equipment, facilities and services required for export operations</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850"/>
            <w:shd w:val="clear" w:color="auto" w:fill="1F497D"/>
            <w:vAlign w:val="center"/>
          </w:tcPr>
          <w:p>
            <w:r>
              <w:rPr>
                <w:b/>
                <w:color w:val="FFFFFF"/>
                <w:sz w:val="18"/>
              </w:rPr>
              <w:t>Code</w:t>
            </w:r>
          </w:p>
        </w:tc>
        <w:tc>
          <w:tcPr>
            <w:tcW w:type="dxa" w:w="3118"/>
            <w:shd w:val="clear" w:color="auto" w:fill="1F497D"/>
            <w:vAlign w:val="center"/>
          </w:tcPr>
          <w:p>
            <w:r>
              <w:rPr>
                <w:b/>
                <w:color w:val="FFFFFF"/>
                <w:sz w:val="18"/>
              </w:rPr>
              <w:t>Building / Structure</w:t>
            </w:r>
          </w:p>
        </w:tc>
        <w:tc>
          <w:tcPr>
            <w:tcW w:type="dxa" w:w="1587"/>
            <w:shd w:val="clear" w:color="auto" w:fill="1F497D"/>
            <w:vAlign w:val="center"/>
          </w:tcPr>
          <w:p>
            <w:r>
              <w:rPr>
                <w:b/>
                <w:color w:val="FFFFFF"/>
                <w:sz w:val="18"/>
              </w:rPr>
              <w:t>Dimensions</w:t>
            </w:r>
          </w:p>
        </w:tc>
        <w:tc>
          <w:tcPr>
            <w:tcW w:type="dxa" w:w="1984"/>
            <w:shd w:val="clear" w:color="auto" w:fill="1F497D"/>
            <w:vAlign w:val="center"/>
          </w:tcPr>
          <w:p>
            <w:r>
              <w:rPr>
                <w:b/>
                <w:color w:val="FFFFFF"/>
                <w:sz w:val="18"/>
              </w:rPr>
              <w:t>Construction</w:t>
            </w:r>
          </w:p>
        </w:tc>
        <w:tc>
          <w:tcPr>
            <w:tcW w:type="dxa" w:w="2381"/>
            <w:shd w:val="clear" w:color="auto" w:fill="1F497D"/>
            <w:vAlign w:val="center"/>
          </w:tcPr>
          <w:p>
            <w:r>
              <w:rPr>
                <w:b/>
                <w:color w:val="FFFFFF"/>
                <w:sz w:val="18"/>
              </w:rPr>
              <w:t>Location</w:t>
            </w:r>
          </w:p>
        </w:tc>
      </w:tr>
      <w:tr>
        <w:tc>
          <w:tcPr>
            <w:tcW w:type="dxa" w:w="850"/>
            <w:shd w:val="clear" w:color="auto" w:fill="FFFFFF"/>
            <w:vAlign w:val="center"/>
          </w:tcPr>
          <w:p>
            <w:r>
              <w:rPr>
                <w:sz w:val="18"/>
              </w:rPr>
              <w:t>WB</w:t>
            </w:r>
          </w:p>
        </w:tc>
        <w:tc>
          <w:tcPr>
            <w:tcW w:type="dxa" w:w="3118"/>
            <w:shd w:val="clear" w:color="auto" w:fill="FFFFFF"/>
            <w:vAlign w:val="center"/>
          </w:tcPr>
          <w:p>
            <w:r>
              <w:rPr>
                <w:sz w:val="18"/>
              </w:rPr>
              <w:t>Weighbridge</w:t>
            </w:r>
          </w:p>
        </w:tc>
        <w:tc>
          <w:tcPr>
            <w:tcW w:type="dxa" w:w="1587"/>
            <w:shd w:val="clear" w:color="auto" w:fill="FFFFFF"/>
            <w:vAlign w:val="center"/>
          </w:tcPr>
          <w:p>
            <w:r>
              <w:rPr>
                <w:sz w:val="18"/>
              </w:rPr>
              <w:t>40 t pit type</w:t>
            </w:r>
          </w:p>
        </w:tc>
        <w:tc>
          <w:tcPr>
            <w:tcW w:type="dxa" w:w="1984"/>
            <w:shd w:val="clear" w:color="auto" w:fill="FFFFFF"/>
            <w:vAlign w:val="center"/>
          </w:tcPr>
          <w:p>
            <w:r>
              <w:rPr>
                <w:sz w:val="18"/>
              </w:rPr>
              <w:t>Concrete pit, steel deck</w:t>
            </w:r>
          </w:p>
        </w:tc>
        <w:tc>
          <w:tcPr>
            <w:tcW w:type="dxa" w:w="2381"/>
            <w:shd w:val="clear" w:color="auto" w:fill="FFFFFF"/>
            <w:vAlign w:val="center"/>
          </w:tcPr>
          <w:p>
            <w:r>
              <w:rPr>
                <w:sz w:val="18"/>
              </w:rPr>
              <w:t>North entry</w:t>
            </w:r>
          </w:p>
        </w:tc>
      </w:tr>
      <w:tr>
        <w:tc>
          <w:tcPr>
            <w:tcW w:type="dxa" w:w="850"/>
            <w:shd w:val="clear" w:color="auto" w:fill="F2F2F2"/>
            <w:vAlign w:val="center"/>
          </w:tcPr>
          <w:p>
            <w:r>
              <w:rPr>
                <w:sz w:val="18"/>
              </w:rPr>
              <w:t>GS</w:t>
            </w:r>
          </w:p>
        </w:tc>
        <w:tc>
          <w:tcPr>
            <w:tcW w:type="dxa" w:w="3118"/>
            <w:shd w:val="clear" w:color="auto" w:fill="F2F2F2"/>
            <w:vAlign w:val="center"/>
          </w:tcPr>
          <w:p>
            <w:r>
              <w:rPr>
                <w:sz w:val="18"/>
              </w:rPr>
              <w:t>Grading Shed</w:t>
            </w:r>
          </w:p>
        </w:tc>
        <w:tc>
          <w:tcPr>
            <w:tcW w:type="dxa" w:w="1587"/>
            <w:shd w:val="clear" w:color="auto" w:fill="F2F2F2"/>
            <w:vAlign w:val="center"/>
          </w:tcPr>
          <w:p>
            <w:r>
              <w:rPr>
                <w:sz w:val="18"/>
              </w:rPr>
              <w:t>28×20 m</w:t>
            </w:r>
          </w:p>
        </w:tc>
        <w:tc>
          <w:tcPr>
            <w:tcW w:type="dxa" w:w="1984"/>
            <w:shd w:val="clear" w:color="auto" w:fill="F2F2F2"/>
            <w:vAlign w:val="center"/>
          </w:tcPr>
          <w:p>
            <w:r>
              <w:rPr>
                <w:sz w:val="18"/>
              </w:rPr>
              <w:t>Steel portal, concrete floor</w:t>
            </w:r>
          </w:p>
        </w:tc>
        <w:tc>
          <w:tcPr>
            <w:tcW w:type="dxa" w:w="2381"/>
            <w:shd w:val="clear" w:color="auto" w:fill="F2F2F2"/>
            <w:vAlign w:val="center"/>
          </w:tcPr>
          <w:p>
            <w:r>
              <w:rPr>
                <w:sz w:val="18"/>
              </w:rPr>
              <w:t>Centre of site</w:t>
            </w:r>
          </w:p>
        </w:tc>
      </w:tr>
      <w:tr>
        <w:tc>
          <w:tcPr>
            <w:tcW w:type="dxa" w:w="850"/>
            <w:shd w:val="clear" w:color="auto" w:fill="FFFFFF"/>
            <w:vAlign w:val="center"/>
          </w:tcPr>
          <w:p>
            <w:r>
              <w:rPr>
                <w:sz w:val="18"/>
              </w:rPr>
              <w:t>S1–S4</w:t>
            </w:r>
          </w:p>
        </w:tc>
        <w:tc>
          <w:tcPr>
            <w:tcW w:type="dxa" w:w="3118"/>
            <w:shd w:val="clear" w:color="auto" w:fill="FFFFFF"/>
            <w:vAlign w:val="center"/>
          </w:tcPr>
          <w:p>
            <w:r>
              <w:rPr>
                <w:sz w:val="18"/>
              </w:rPr>
              <w:t>Storage Bins ×4 (1,000 t ea)</w:t>
            </w:r>
          </w:p>
        </w:tc>
        <w:tc>
          <w:tcPr>
            <w:tcW w:type="dxa" w:w="1587"/>
            <w:shd w:val="clear" w:color="auto" w:fill="FFFFFF"/>
            <w:vAlign w:val="center"/>
          </w:tcPr>
          <w:p>
            <w:r>
              <w:rPr>
                <w:sz w:val="18"/>
              </w:rPr>
              <w:t>Dia. 10 m</w:t>
            </w:r>
          </w:p>
        </w:tc>
        <w:tc>
          <w:tcPr>
            <w:tcW w:type="dxa" w:w="1984"/>
            <w:shd w:val="clear" w:color="auto" w:fill="FFFFFF"/>
            <w:vAlign w:val="center"/>
          </w:tcPr>
          <w:p>
            <w:r>
              <w:rPr>
                <w:sz w:val="18"/>
              </w:rPr>
              <w:t>Steel on concrete</w:t>
            </w:r>
          </w:p>
        </w:tc>
        <w:tc>
          <w:tcPr>
            <w:tcW w:type="dxa" w:w="2381"/>
            <w:shd w:val="clear" w:color="auto" w:fill="FFFFFF"/>
            <w:vAlign w:val="center"/>
          </w:tcPr>
          <w:p>
            <w:r>
              <w:rPr>
                <w:sz w:val="18"/>
              </w:rPr>
              <w:t>South cluster</w:t>
            </w:r>
          </w:p>
        </w:tc>
      </w:tr>
      <w:tr>
        <w:tc>
          <w:tcPr>
            <w:tcW w:type="dxa" w:w="850"/>
            <w:shd w:val="clear" w:color="auto" w:fill="F2F2F2"/>
            <w:vAlign w:val="center"/>
          </w:tcPr>
          <w:p>
            <w:r>
              <w:rPr>
                <w:sz w:val="18"/>
              </w:rPr>
              <w:t>AM</w:t>
            </w:r>
          </w:p>
        </w:tc>
        <w:tc>
          <w:tcPr>
            <w:tcW w:type="dxa" w:w="3118"/>
            <w:shd w:val="clear" w:color="auto" w:fill="F2F2F2"/>
            <w:vAlign w:val="center"/>
          </w:tcPr>
          <w:p>
            <w:r>
              <w:rPr>
                <w:sz w:val="18"/>
              </w:rPr>
              <w:t>Amenities Block</w:t>
            </w:r>
          </w:p>
        </w:tc>
        <w:tc>
          <w:tcPr>
            <w:tcW w:type="dxa" w:w="1587"/>
            <w:shd w:val="clear" w:color="auto" w:fill="F2F2F2"/>
            <w:vAlign w:val="center"/>
          </w:tcPr>
          <w:p>
            <w:r>
              <w:rPr>
                <w:sz w:val="18"/>
              </w:rPr>
              <w:t>7×5 m</w:t>
            </w:r>
          </w:p>
        </w:tc>
        <w:tc>
          <w:tcPr>
            <w:tcW w:type="dxa" w:w="1984"/>
            <w:shd w:val="clear" w:color="auto" w:fill="F2F2F2"/>
            <w:vAlign w:val="center"/>
          </w:tcPr>
          <w:p>
            <w:r>
              <w:rPr>
                <w:sz w:val="18"/>
              </w:rPr>
              <w:t>Brick</w:t>
            </w:r>
          </w:p>
        </w:tc>
        <w:tc>
          <w:tcPr>
            <w:tcW w:type="dxa" w:w="2381"/>
            <w:shd w:val="clear" w:color="auto" w:fill="F2F2F2"/>
            <w:vAlign w:val="center"/>
          </w:tcPr>
          <w:p>
            <w:r>
              <w:rPr>
                <w:sz w:val="18"/>
              </w:rPr>
              <w:t>Adjacent GS entry</w:t>
            </w:r>
          </w:p>
        </w:tc>
      </w:tr>
      <w:tr>
        <w:tc>
          <w:tcPr>
            <w:tcW w:type="dxa" w:w="850"/>
            <w:shd w:val="clear" w:color="auto" w:fill="FFFFFF"/>
            <w:vAlign w:val="center"/>
          </w:tcPr>
          <w:p>
            <w:r>
              <w:rPr>
                <w:sz w:val="18"/>
              </w:rPr>
              <w:t>CH</w:t>
            </w:r>
          </w:p>
        </w:tc>
        <w:tc>
          <w:tcPr>
            <w:tcW w:type="dxa" w:w="3118"/>
            <w:shd w:val="clear" w:color="auto" w:fill="FFFFFF"/>
            <w:vAlign w:val="center"/>
          </w:tcPr>
          <w:p>
            <w:r>
              <w:rPr>
                <w:sz w:val="18"/>
              </w:rPr>
              <w:t>Chemical Store</w:t>
            </w:r>
          </w:p>
        </w:tc>
        <w:tc>
          <w:tcPr>
            <w:tcW w:type="dxa" w:w="1587"/>
            <w:shd w:val="clear" w:color="auto" w:fill="FFFFFF"/>
            <w:vAlign w:val="center"/>
          </w:tcPr>
          <w:p>
            <w:r>
              <w:rPr>
                <w:sz w:val="18"/>
              </w:rPr>
              <w:t>5×3 m</w:t>
            </w:r>
          </w:p>
        </w:tc>
        <w:tc>
          <w:tcPr>
            <w:tcW w:type="dxa" w:w="1984"/>
            <w:shd w:val="clear" w:color="auto" w:fill="FFFFFF"/>
            <w:vAlign w:val="center"/>
          </w:tcPr>
          <w:p>
            <w:r>
              <w:rPr>
                <w:sz w:val="18"/>
              </w:rPr>
              <w:t>Steel, bunded</w:t>
            </w:r>
          </w:p>
        </w:tc>
        <w:tc>
          <w:tcPr>
            <w:tcW w:type="dxa" w:w="2381"/>
            <w:shd w:val="clear" w:color="auto" w:fill="FFFFFF"/>
            <w:vAlign w:val="center"/>
          </w:tcPr>
          <w:p>
            <w:r>
              <w:rPr>
                <w:sz w:val="18"/>
              </w:rPr>
              <w:t>Remote — NW corner</w:t>
            </w:r>
          </w:p>
        </w:tc>
      </w:tr>
      <w:tr>
        <w:tc>
          <w:tcPr>
            <w:tcW w:type="dxa" w:w="850"/>
            <w:shd w:val="clear" w:color="auto" w:fill="F2F2F2"/>
            <w:vAlign w:val="center"/>
          </w:tcPr>
          <w:p>
            <w:r>
              <w:rPr>
                <w:sz w:val="18"/>
              </w:rPr>
              <w:t>IB</w:t>
            </w:r>
          </w:p>
        </w:tc>
        <w:tc>
          <w:tcPr>
            <w:tcW w:type="dxa" w:w="3118"/>
            <w:shd w:val="clear" w:color="auto" w:fill="F2F2F2"/>
            <w:vAlign w:val="center"/>
          </w:tcPr>
          <w:p>
            <w:r>
              <w:rPr>
                <w:sz w:val="18"/>
              </w:rPr>
              <w:t>DAFF Inspection Room</w:t>
            </w:r>
          </w:p>
        </w:tc>
        <w:tc>
          <w:tcPr>
            <w:tcW w:type="dxa" w:w="1587"/>
            <w:shd w:val="clear" w:color="auto" w:fill="F2F2F2"/>
            <w:vAlign w:val="center"/>
          </w:tcPr>
          <w:p>
            <w:r>
              <w:rPr>
                <w:sz w:val="18"/>
              </w:rPr>
              <w:t>5×4 m</w:t>
            </w:r>
          </w:p>
        </w:tc>
        <w:tc>
          <w:tcPr>
            <w:tcW w:type="dxa" w:w="1984"/>
            <w:shd w:val="clear" w:color="auto" w:fill="F2F2F2"/>
            <w:vAlign w:val="center"/>
          </w:tcPr>
          <w:p>
            <w:r>
              <w:rPr>
                <w:sz w:val="18"/>
              </w:rPr>
              <w:t>Enclosed room in GS</w:t>
            </w:r>
          </w:p>
        </w:tc>
        <w:tc>
          <w:tcPr>
            <w:tcW w:type="dxa" w:w="2381"/>
            <w:shd w:val="clear" w:color="auto" w:fill="F2F2F2"/>
            <w:vAlign w:val="center"/>
          </w:tcPr>
          <w:p>
            <w:r>
              <w:rPr>
                <w:sz w:val="18"/>
              </w:rPr>
              <w:t>GS north end</w:t>
            </w:r>
          </w:p>
        </w:tc>
      </w:tr>
    </w:tbl>
    <w:p/>
    <w:p>
      <w:pPr>
        <w:pStyle w:val="Heading1"/>
      </w:pPr>
      <w:r>
        <w:rPr>
          <w:color w:val="1F497D"/>
        </w:rPr>
        <w:t>3.  EQUIPMENT AND MACHINERY</w:t>
      </w:r>
    </w:p>
    <w:p>
      <w:r>
        <w:rPr>
          <w:i/>
          <w:color w:val="555555"/>
          <w:sz w:val="18"/>
        </w:rPr>
        <w:t>Rules s4-2(4) — equipment adequate for the type of export operations conducted</w:t>
      </w:r>
    </w:p>
    <w:tbl>
      <w:tblPr>
        <w:tblStyle w:val="TableGrid"/>
        <w:tblW w:type="auto" w:w="0"/>
        <w:jc w:val="left"/>
        <w:tblLook w:firstColumn="1" w:firstRow="1" w:lastColumn="0" w:lastRow="0" w:noHBand="0" w:noVBand="1" w:val="04A0"/>
      </w:tblPr>
      <w:tblGrid>
        <w:gridCol w:w="3024"/>
        <w:gridCol w:w="3024"/>
        <w:gridCol w:w="3024"/>
      </w:tblGrid>
      <w:tr>
        <w:tc>
          <w:tcPr>
            <w:tcW w:type="dxa" w:w="3685"/>
            <w:shd w:val="clear" w:color="auto" w:fill="1F497D"/>
            <w:vAlign w:val="center"/>
          </w:tcPr>
          <w:p>
            <w:r>
              <w:rPr>
                <w:b/>
                <w:color w:val="FFFFFF"/>
                <w:sz w:val="18"/>
              </w:rPr>
              <w:t>Item</w:t>
            </w:r>
          </w:p>
        </w:tc>
        <w:tc>
          <w:tcPr>
            <w:tcW w:type="dxa" w:w="1984"/>
            <w:shd w:val="clear" w:color="auto" w:fill="1F497D"/>
            <w:vAlign w:val="center"/>
          </w:tcPr>
          <w:p>
            <w:r>
              <w:rPr>
                <w:b/>
                <w:color w:val="FFFFFF"/>
                <w:sz w:val="18"/>
              </w:rPr>
              <w:t>Quantity / Spec</w:t>
            </w:r>
          </w:p>
        </w:tc>
        <w:tc>
          <w:tcPr>
            <w:tcW w:type="dxa" w:w="4252"/>
            <w:shd w:val="clear" w:color="auto" w:fill="1F497D"/>
            <w:vAlign w:val="center"/>
          </w:tcPr>
          <w:p>
            <w:r>
              <w:rPr>
                <w:b/>
                <w:color w:val="FFFFFF"/>
                <w:sz w:val="18"/>
              </w:rPr>
              <w:t>Purpose</w:t>
            </w:r>
          </w:p>
        </w:tc>
      </w:tr>
      <w:tr>
        <w:tc>
          <w:tcPr>
            <w:tcW w:type="dxa" w:w="3685"/>
            <w:shd w:val="clear" w:color="auto" w:fill="FFFFFF"/>
            <w:vAlign w:val="center"/>
          </w:tcPr>
          <w:p>
            <w:r>
              <w:rPr>
                <w:sz w:val="18"/>
              </w:rPr>
              <w:t>Pulse grader (aspiration screen)</w:t>
            </w:r>
          </w:p>
        </w:tc>
        <w:tc>
          <w:tcPr>
            <w:tcW w:type="dxa" w:w="1984"/>
            <w:shd w:val="clear" w:color="auto" w:fill="FFFFFF"/>
            <w:vAlign w:val="center"/>
          </w:tcPr>
          <w:p>
            <w:r>
              <w:rPr>
                <w:sz w:val="18"/>
              </w:rPr>
              <w:t>1 unit</w:t>
            </w:r>
          </w:p>
        </w:tc>
        <w:tc>
          <w:tcPr>
            <w:tcW w:type="dxa" w:w="4252"/>
            <w:shd w:val="clear" w:color="auto" w:fill="FFFFFF"/>
            <w:vAlign w:val="center"/>
          </w:tcPr>
          <w:p>
            <w:r>
              <w:rPr>
                <w:sz w:val="18"/>
              </w:rPr>
              <w:t>Cleaning and grading</w:t>
            </w:r>
          </w:p>
        </w:tc>
      </w:tr>
      <w:tr>
        <w:tc>
          <w:tcPr>
            <w:tcW w:type="dxa" w:w="3685"/>
            <w:shd w:val="clear" w:color="auto" w:fill="F2F2F2"/>
            <w:vAlign w:val="center"/>
          </w:tcPr>
          <w:p>
            <w:r>
              <w:rPr>
                <w:sz w:val="18"/>
              </w:rPr>
              <w:t>Destoner</w:t>
            </w:r>
          </w:p>
        </w:tc>
        <w:tc>
          <w:tcPr>
            <w:tcW w:type="dxa" w:w="1984"/>
            <w:shd w:val="clear" w:color="auto" w:fill="F2F2F2"/>
            <w:vAlign w:val="center"/>
          </w:tcPr>
          <w:p>
            <w:r>
              <w:rPr>
                <w:sz w:val="18"/>
              </w:rPr>
              <w:t>1 unit</w:t>
            </w:r>
          </w:p>
        </w:tc>
        <w:tc>
          <w:tcPr>
            <w:tcW w:type="dxa" w:w="4252"/>
            <w:shd w:val="clear" w:color="auto" w:fill="F2F2F2"/>
            <w:vAlign w:val="center"/>
          </w:tcPr>
          <w:p>
            <w:r>
              <w:rPr>
                <w:sz w:val="18"/>
              </w:rPr>
              <w:t>Foreign material removal</w:t>
            </w:r>
          </w:p>
        </w:tc>
      </w:tr>
      <w:tr>
        <w:tc>
          <w:tcPr>
            <w:tcW w:type="dxa" w:w="3685"/>
            <w:shd w:val="clear" w:color="auto" w:fill="FFFFFF"/>
            <w:vAlign w:val="center"/>
          </w:tcPr>
          <w:p>
            <w:r>
              <w:rPr>
                <w:sz w:val="18"/>
              </w:rPr>
              <w:t>Colour sorter</w:t>
            </w:r>
          </w:p>
        </w:tc>
        <w:tc>
          <w:tcPr>
            <w:tcW w:type="dxa" w:w="1984"/>
            <w:shd w:val="clear" w:color="auto" w:fill="FFFFFF"/>
            <w:vAlign w:val="center"/>
          </w:tcPr>
          <w:p>
            <w:r>
              <w:rPr>
                <w:sz w:val="18"/>
              </w:rPr>
              <w:t>1 unit</w:t>
            </w:r>
          </w:p>
        </w:tc>
        <w:tc>
          <w:tcPr>
            <w:tcW w:type="dxa" w:w="4252"/>
            <w:shd w:val="clear" w:color="auto" w:fill="FFFFFF"/>
            <w:vAlign w:val="center"/>
          </w:tcPr>
          <w:p>
            <w:r>
              <w:rPr>
                <w:sz w:val="18"/>
              </w:rPr>
              <w:t>Quality grading</w:t>
            </w:r>
          </w:p>
        </w:tc>
      </w:tr>
      <w:tr>
        <w:tc>
          <w:tcPr>
            <w:tcW w:type="dxa" w:w="3685"/>
            <w:shd w:val="clear" w:color="auto" w:fill="F2F2F2"/>
            <w:vAlign w:val="center"/>
          </w:tcPr>
          <w:p>
            <w:r>
              <w:rPr>
                <w:sz w:val="18"/>
              </w:rPr>
              <w:t>Bagging machine (25 kg bags)</w:t>
            </w:r>
          </w:p>
        </w:tc>
        <w:tc>
          <w:tcPr>
            <w:tcW w:type="dxa" w:w="1984"/>
            <w:shd w:val="clear" w:color="auto" w:fill="F2F2F2"/>
            <w:vAlign w:val="center"/>
          </w:tcPr>
          <w:p>
            <w:r>
              <w:rPr>
                <w:sz w:val="18"/>
              </w:rPr>
              <w:t>1 unit</w:t>
            </w:r>
          </w:p>
        </w:tc>
        <w:tc>
          <w:tcPr>
            <w:tcW w:type="dxa" w:w="4252"/>
            <w:shd w:val="clear" w:color="auto" w:fill="F2F2F2"/>
            <w:vAlign w:val="center"/>
          </w:tcPr>
          <w:p>
            <w:r>
              <w:rPr>
                <w:sz w:val="18"/>
              </w:rPr>
              <w:t>Bulk export bagging</w:t>
            </w:r>
          </w:p>
        </w:tc>
      </w:tr>
      <w:tr>
        <w:tc>
          <w:tcPr>
            <w:tcW w:type="dxa" w:w="3685"/>
            <w:shd w:val="clear" w:color="auto" w:fill="FFFFFF"/>
            <w:vAlign w:val="center"/>
          </w:tcPr>
          <w:p>
            <w:r>
              <w:rPr>
                <w:sz w:val="18"/>
              </w:rPr>
              <w:t>Weighbridge system</w:t>
            </w:r>
          </w:p>
        </w:tc>
        <w:tc>
          <w:tcPr>
            <w:tcW w:type="dxa" w:w="1984"/>
            <w:shd w:val="clear" w:color="auto" w:fill="FFFFFF"/>
            <w:vAlign w:val="center"/>
          </w:tcPr>
          <w:p>
            <w:r>
              <w:rPr>
                <w:sz w:val="18"/>
              </w:rPr>
              <w:t>40 t rated</w:t>
            </w:r>
          </w:p>
        </w:tc>
        <w:tc>
          <w:tcPr>
            <w:tcW w:type="dxa" w:w="4252"/>
            <w:shd w:val="clear" w:color="auto" w:fill="FFFFFF"/>
            <w:vAlign w:val="center"/>
          </w:tcPr>
          <w:p>
            <w:r>
              <w:rPr>
                <w:sz w:val="18"/>
              </w:rPr>
              <w:t>Truck weighing</w:t>
            </w:r>
          </w:p>
        </w:tc>
      </w:tr>
      <w:tr>
        <w:tc>
          <w:tcPr>
            <w:tcW w:type="dxa" w:w="3685"/>
            <w:shd w:val="clear" w:color="auto" w:fill="F2F2F2"/>
            <w:vAlign w:val="center"/>
          </w:tcPr>
          <w:p>
            <w:r>
              <w:rPr>
                <w:sz w:val="18"/>
              </w:rPr>
              <w:t>In-line sampler</w:t>
            </w:r>
          </w:p>
        </w:tc>
        <w:tc>
          <w:tcPr>
            <w:tcW w:type="dxa" w:w="1984"/>
            <w:shd w:val="clear" w:color="auto" w:fill="F2F2F2"/>
            <w:vAlign w:val="center"/>
          </w:tcPr>
          <w:p>
            <w:r>
              <w:rPr>
                <w:sz w:val="18"/>
              </w:rPr>
              <w:t>1 unit</w:t>
            </w:r>
          </w:p>
        </w:tc>
        <w:tc>
          <w:tcPr>
            <w:tcW w:type="dxa" w:w="4252"/>
            <w:shd w:val="clear" w:color="auto" w:fill="F2F2F2"/>
            <w:vAlign w:val="center"/>
          </w:tcPr>
          <w:p>
            <w:r>
              <w:rPr>
                <w:sz w:val="18"/>
              </w:rPr>
              <w:t>Representative lot sampling</w:t>
            </w:r>
          </w:p>
        </w:tc>
      </w:tr>
    </w:tbl>
    <w:p/>
    <w:p>
      <w:pPr>
        <w:pStyle w:val="Heading1"/>
      </w:pPr>
      <w:r>
        <w:rPr>
          <w:color w:val="1F497D"/>
        </w:rPr>
        <w:t>4.  FACILITIES AND SERVICES</w:t>
      </w:r>
    </w:p>
    <w:p>
      <w:r>
        <w:rPr>
          <w:i/>
          <w:color w:val="555555"/>
          <w:sz w:val="18"/>
        </w:rPr>
        <w:t>Rules s4-2 — Element 2.1 checking points C1, C2, C3</w:t>
      </w:r>
    </w:p>
    <w:p>
      <w:pPr>
        <w:pStyle w:val="Heading2"/>
      </w:pPr>
      <w:r>
        <w:t>4.1  Buildings, Equipment and Facilities (C1)</w:t>
      </w:r>
    </w:p>
    <w:p>
      <w:r>
        <w:rPr>
          <w:b w:val="0"/>
          <w:i w:val="0"/>
          <w:sz w:val="20"/>
        </w:rPr>
        <w:t>The establishment has all buildings, equipment, facilities and services required for the registered export operations. Facilities are maintained in an operational condition appropriate for handling and exporting Lentils.</w:t>
      </w:r>
    </w:p>
    <w:p>
      <w:pPr>
        <w:pStyle w:val="Heading2"/>
      </w:pPr>
      <w:r>
        <w:t>4.2  Lighting (C2)</w:t>
      </w:r>
    </w:p>
    <w:p>
      <w:r>
        <w:rPr>
          <w:b w:val="0"/>
          <w:i w:val="0"/>
          <w:sz w:val="20"/>
        </w:rPr>
        <w:t>T5 LED fluorescent panels on 600 mm spacing — 500 lux at floor level throughout processing area. Task lighting above grading line at 550 lux. Loading dock: 300 W LED floods at 380 lux. Emergency lighting on dedicated UPS circuit.</w:t>
      </w:r>
    </w:p>
    <w:p>
      <w:pPr>
        <w:pStyle w:val="Heading2"/>
      </w:pPr>
      <w:r>
        <w:t>4.3  Handwashing and Toilet Facilities (C3)</w:t>
      </w:r>
    </w:p>
    <w:p>
      <w:r>
        <w:rPr>
          <w:b w:val="0"/>
          <w:i w:val="0"/>
          <w:sz w:val="20"/>
        </w:rPr>
        <w:t>Self-contained amenities unit: 1 toilet, 1 hand basin — hot/cold water, liquid soap dispensers, paper towels, hand sanitiser. Sited at main processing entry (&lt;15 m from packing line). Additional wash station at grading line head-of-line position.</w:t>
      </w:r>
    </w:p>
    <w:p/>
    <w:p>
      <w:pPr>
        <w:pStyle w:val="Heading1"/>
      </w:pPr>
      <w:r>
        <w:rPr>
          <w:color w:val="1F497D"/>
        </w:rPr>
        <w:t>5.  DESIGN AND CONSTRUCTION STANDARDS</w:t>
      </w:r>
    </w:p>
    <w:p>
      <w:r>
        <w:rPr>
          <w:i/>
          <w:color w:val="555555"/>
          <w:sz w:val="18"/>
        </w:rPr>
        <w:t>Rules s4-2(5), s4-2(6) — Element 2.2 checking points C4, C5, C6</w:t>
      </w:r>
    </w:p>
    <w:p>
      <w:pPr>
        <w:pStyle w:val="Heading2"/>
      </w:pPr>
      <w:r>
        <w:t>5.1  Cleanability (C4)</w:t>
      </w:r>
    </w:p>
    <w:p>
      <w:r>
        <w:rPr>
          <w:b w:val="0"/>
          <w:i w:val="0"/>
          <w:sz w:val="20"/>
        </w:rPr>
        <w:t>Floors: smooth-trowelled reinforced concrete with penetrating sealant (applied 2019, resealed 2024); coved floor-wall junctions throughout. Wall cladding: 1.6 mm Zincalume on galvanised rails to 3.0 m — smooth, washable. All service penetrations sealed with flexible polyurethane. Drain covers: lift-out stainless-steel.</w:t>
      </w:r>
    </w:p>
    <w:p>
      <w:pPr>
        <w:pStyle w:val="Heading2"/>
      </w:pPr>
      <w:r>
        <w:t>5.2  Contamination and Pest Harbourage Minimisation (C5)</w:t>
      </w:r>
    </w:p>
    <w:p>
      <w:r>
        <w:rPr>
          <w:b w:val="0"/>
          <w:i w:val="0"/>
          <w:sz w:val="20"/>
        </w:rPr>
        <w:t>Pest exclusion features: (1) all gaps &gt;6 mm in the building envelope sealed; (2) ventilation openings screened with 6 mm galvanised mesh; (3) all doors have rubber or brush seals at threshold and jambs; (4) drainage openings covered with SS mesh inserts; (5) no internal ledges &gt;50 mm depth without ≥45° slope; (6) equipment on feet to eliminate floor-level harbourage. Inspected by licensed technician every 6 months.</w:t>
      </w:r>
    </w:p>
    <w:p>
      <w:pPr>
        <w:pStyle w:val="Heading2"/>
      </w:pPr>
      <w:r>
        <w:t>5.3  Waste Disposal Design (C6)</w:t>
      </w:r>
    </w:p>
    <w:p>
      <w:r>
        <w:rPr>
          <w:b w:val="0"/>
          <w:i w:val="0"/>
          <w:sz w:val="20"/>
        </w:rPr>
        <w:t>Waste infrastructure: (1) floor drains to grease interceptor → licensed trade waste; (2) solid product waste in sealed 240 L bins at processing line discharge — removed to covered bunded external skip, collected by contractor twice weekly; (3) packaging waste in baler at external waste bay; (4) dust and fines via bag filter — bags sealed and removed weekly. All collection points have contained, cleanable surfaces.</w:t>
      </w:r>
    </w:p>
    <w:p/>
    <w:p>
      <w:pPr>
        <w:pStyle w:val="Heading1"/>
      </w:pPr>
      <w:r>
        <w:rPr>
          <w:color w:val="1F497D"/>
        </w:rPr>
        <w:t>6.  WASTE MANAGEMENT SYSTEM</w:t>
      </w:r>
    </w:p>
    <w:p>
      <w:r>
        <w:rPr>
          <w:i/>
          <w:color w:val="555555"/>
          <w:sz w:val="18"/>
        </w:rPr>
        <w:t>Rules s4-7A(2)(a) — Element 3.1 checking point C7</w:t>
      </w:r>
    </w:p>
    <w:p>
      <w:pPr>
        <w:pStyle w:val="Heading2"/>
      </w:pPr>
      <w:r>
        <w:t>6.1  Waste Management Procedures (C7)</w:t>
      </w:r>
    </w:p>
    <w:p>
      <w:r>
        <w:rPr>
          <w:b w:val="0"/>
          <w:i w:val="0"/>
          <w:sz w:val="20"/>
        </w:rPr>
        <w:t>Solid waste removal is managed by an external contractor under a service agreement — the contractor collects bin contents on a fortnightly schedule. Liquid waste discharge is managed under the site's trade waste approval. No internal waste management procedure document exists — the contractor agreement is considered by the establishment to fulfil waste management requirements.</w:t>
      </w:r>
    </w:p>
    <w:p/>
    <w:p>
      <w:r>
        <w:rPr>
          <w:b/>
          <w:i w:val="0"/>
          <w:sz w:val="20"/>
        </w:rPr>
        <w:t>Waste streams and handling arrangements:</w:t>
      </w:r>
    </w:p>
    <w:tbl>
      <w:tblPr>
        <w:tblStyle w:val="TableGrid"/>
        <w:tblW w:type="auto" w:w="0"/>
        <w:jc w:val="left"/>
        <w:tblLook w:firstColumn="1" w:firstRow="1" w:lastColumn="0" w:lastRow="0" w:noHBand="0" w:noVBand="1" w:val="04A0"/>
      </w:tblPr>
      <w:tblGrid>
        <w:gridCol w:w="3024"/>
        <w:gridCol w:w="3024"/>
        <w:gridCol w:w="3024"/>
      </w:tblGrid>
      <w:tr>
        <w:tc>
          <w:tcPr>
            <w:tcW w:type="dxa" w:w="2835"/>
            <w:shd w:val="clear" w:color="auto" w:fill="1F497D"/>
            <w:vAlign w:val="center"/>
          </w:tcPr>
          <w:p>
            <w:r>
              <w:rPr>
                <w:b/>
                <w:color w:val="FFFFFF"/>
                <w:sz w:val="18"/>
              </w:rPr>
              <w:t>Waste Type</w:t>
            </w:r>
          </w:p>
        </w:tc>
        <w:tc>
          <w:tcPr>
            <w:tcW w:type="dxa" w:w="4252"/>
            <w:shd w:val="clear" w:color="auto" w:fill="1F497D"/>
            <w:vAlign w:val="center"/>
          </w:tcPr>
          <w:p>
            <w:r>
              <w:rPr>
                <w:b/>
                <w:color w:val="FFFFFF"/>
                <w:sz w:val="18"/>
              </w:rPr>
              <w:t>Handling Method</w:t>
            </w:r>
          </w:p>
        </w:tc>
        <w:tc>
          <w:tcPr>
            <w:tcW w:type="dxa" w:w="2835"/>
            <w:shd w:val="clear" w:color="auto" w:fill="1F497D"/>
            <w:vAlign w:val="center"/>
          </w:tcPr>
          <w:p>
            <w:r>
              <w:rPr>
                <w:b/>
                <w:color w:val="FFFFFF"/>
                <w:sz w:val="18"/>
              </w:rPr>
              <w:t>Removal Frequency</w:t>
            </w:r>
          </w:p>
        </w:tc>
      </w:tr>
      <w:tr>
        <w:tc>
          <w:tcPr>
            <w:tcW w:type="dxa" w:w="2835"/>
            <w:shd w:val="clear" w:color="auto" w:fill="FFFFFF"/>
            <w:vAlign w:val="center"/>
          </w:tcPr>
          <w:p>
            <w:r>
              <w:rPr>
                <w:sz w:val="18"/>
              </w:rPr>
              <w:t>Pulse screenings and tailings</w:t>
            </w:r>
          </w:p>
        </w:tc>
        <w:tc>
          <w:tcPr>
            <w:tcW w:type="dxa" w:w="4252"/>
            <w:shd w:val="clear" w:color="auto" w:fill="FFFFFF"/>
            <w:vAlign w:val="center"/>
          </w:tcPr>
          <w:p>
            <w:r>
              <w:rPr>
                <w:sz w:val="18"/>
              </w:rPr>
              <w:t>Collection bins under aspirator — sealed</w:t>
            </w:r>
          </w:p>
        </w:tc>
        <w:tc>
          <w:tcPr>
            <w:tcW w:type="dxa" w:w="2835"/>
            <w:shd w:val="clear" w:color="auto" w:fill="FFFFFF"/>
            <w:vAlign w:val="center"/>
          </w:tcPr>
          <w:p>
            <w:r>
              <w:rPr>
                <w:sz w:val="18"/>
              </w:rPr>
              <w:t>Daily removal</w:t>
            </w:r>
          </w:p>
        </w:tc>
      </w:tr>
      <w:tr>
        <w:tc>
          <w:tcPr>
            <w:tcW w:type="dxa" w:w="2835"/>
            <w:shd w:val="clear" w:color="auto" w:fill="F2F2F2"/>
            <w:vAlign w:val="center"/>
          </w:tcPr>
          <w:p>
            <w:r>
              <w:rPr>
                <w:sz w:val="18"/>
              </w:rPr>
              <w:t>Dust and chaff</w:t>
            </w:r>
          </w:p>
        </w:tc>
        <w:tc>
          <w:tcPr>
            <w:tcW w:type="dxa" w:w="4252"/>
            <w:shd w:val="clear" w:color="auto" w:fill="F2F2F2"/>
            <w:vAlign w:val="center"/>
          </w:tcPr>
          <w:p>
            <w:r>
              <w:rPr>
                <w:sz w:val="18"/>
              </w:rPr>
              <w:t>Bag filter on aspiration system</w:t>
            </w:r>
          </w:p>
        </w:tc>
        <w:tc>
          <w:tcPr>
            <w:tcW w:type="dxa" w:w="2835"/>
            <w:shd w:val="clear" w:color="auto" w:fill="F2F2F2"/>
            <w:vAlign w:val="center"/>
          </w:tcPr>
          <w:p>
            <w:r>
              <w:rPr>
                <w:sz w:val="18"/>
              </w:rPr>
              <w:t>Weekly bag disposal</w:t>
            </w:r>
          </w:p>
        </w:tc>
      </w:tr>
      <w:tr>
        <w:tc>
          <w:tcPr>
            <w:tcW w:type="dxa" w:w="2835"/>
            <w:shd w:val="clear" w:color="auto" w:fill="FFFFFF"/>
            <w:vAlign w:val="center"/>
          </w:tcPr>
          <w:p>
            <w:r>
              <w:rPr>
                <w:sz w:val="18"/>
              </w:rPr>
              <w:t>Washdown water</w:t>
            </w:r>
          </w:p>
        </w:tc>
        <w:tc>
          <w:tcPr>
            <w:tcW w:type="dxa" w:w="4252"/>
            <w:shd w:val="clear" w:color="auto" w:fill="FFFFFF"/>
            <w:vAlign w:val="center"/>
          </w:tcPr>
          <w:p>
            <w:r>
              <w:rPr>
                <w:sz w:val="18"/>
              </w:rPr>
              <w:t>Floor drains → sediment sump</w:t>
            </w:r>
          </w:p>
        </w:tc>
        <w:tc>
          <w:tcPr>
            <w:tcW w:type="dxa" w:w="2835"/>
            <w:shd w:val="clear" w:color="auto" w:fill="FFFFFF"/>
            <w:vAlign w:val="center"/>
          </w:tcPr>
          <w:p>
            <w:r>
              <w:rPr>
                <w:sz w:val="18"/>
              </w:rPr>
              <w:t>Weekly pump-out</w:t>
            </w:r>
          </w:p>
        </w:tc>
      </w:tr>
      <w:tr>
        <w:tc>
          <w:tcPr>
            <w:tcW w:type="dxa" w:w="2835"/>
            <w:shd w:val="clear" w:color="auto" w:fill="F2F2F2"/>
            <w:vAlign w:val="center"/>
          </w:tcPr>
          <w:p>
            <w:r>
              <w:rPr>
                <w:sz w:val="18"/>
              </w:rPr>
              <w:t>Packaging waste (bags, strapping)</w:t>
            </w:r>
          </w:p>
        </w:tc>
        <w:tc>
          <w:tcPr>
            <w:tcW w:type="dxa" w:w="4252"/>
            <w:shd w:val="clear" w:color="auto" w:fill="F2F2F2"/>
            <w:vAlign w:val="center"/>
          </w:tcPr>
          <w:p>
            <w:r>
              <w:rPr>
                <w:sz w:val="18"/>
              </w:rPr>
              <w:t>Skip in external waste bay</w:t>
            </w:r>
          </w:p>
        </w:tc>
        <w:tc>
          <w:tcPr>
            <w:tcW w:type="dxa" w:w="2835"/>
            <w:shd w:val="clear" w:color="auto" w:fill="F2F2F2"/>
            <w:vAlign w:val="center"/>
          </w:tcPr>
          <w:p>
            <w:r>
              <w:rPr>
                <w:sz w:val="18"/>
              </w:rPr>
              <w:t>Fortnightly collection</w:t>
            </w:r>
          </w:p>
        </w:tc>
      </w:tr>
    </w:tbl>
    <w:p/>
    <w:p>
      <w:pPr>
        <w:pStyle w:val="Heading1"/>
      </w:pPr>
      <w:r>
        <w:rPr>
          <w:color w:val="1F497D"/>
        </w:rPr>
        <w:t>7.  ESTABLISHMENT CONDITION</w:t>
      </w:r>
    </w:p>
    <w:p>
      <w:r>
        <w:rPr>
          <w:i/>
          <w:color w:val="555555"/>
          <w:sz w:val="18"/>
        </w:rPr>
        <w:t>Rules s4-6 — Element 3.4 (C8) and Element 3.5 (C9)</w:t>
      </w:r>
    </w:p>
    <w:p>
      <w:pPr>
        <w:pStyle w:val="Heading2"/>
      </w:pPr>
      <w:r>
        <w:t>7.1  Hygiene and Cleanliness (C8)</w:t>
      </w:r>
    </w:p>
    <w:p>
      <w:r>
        <w:rPr>
          <w:b w:val="0"/>
          <w:i w:val="0"/>
          <w:sz w:val="20"/>
        </w:rPr>
        <w:t>Establishment condition — most recent internal inspection: processing hall floor clean, drains clear; grading equipment wiped down post-use, no residue on contact surfaces; wall linings free from dust and condensation staining; chemical store tidy with labelled containers; waste bins emptied and clean. Condition consistent with good hygiene practices.</w:t>
      </w:r>
    </w:p>
    <w:p>
      <w:pPr>
        <w:pStyle w:val="Heading2"/>
      </w:pPr>
      <w:r>
        <w:t>7.2  Pest Condition (C9)</w:t>
      </w:r>
    </w:p>
    <w:p>
      <w:r>
        <w:rPr>
          <w:b w:val="0"/>
          <w:i w:val="0"/>
          <w:sz w:val="20"/>
        </w:rPr>
        <w:t>Establishment pest-free: no rodent activity (no droppings, gnaw marks or runs observed); insect pheromone traps — current catches below threshold (3 moths/week vs 10 moths/week threshold); grain probe sampling negative for live insects; bird deterrents in place and effective; all bait stations serviceable.</w:t>
      </w:r>
    </w:p>
    <w:p/>
    <w:p>
      <w:pPr>
        <w:pStyle w:val="Heading1"/>
      </w:pPr>
      <w:r>
        <w:rPr>
          <w:color w:val="1F497D"/>
        </w:rPr>
        <w:t>8.  SERVICES</w:t>
      </w:r>
    </w:p>
    <w:tbl>
      <w:tblPr>
        <w:tblStyle w:val="TableGrid"/>
        <w:tblW w:type="auto" w:w="0"/>
        <w:jc w:val="left"/>
        <w:tblLook w:firstColumn="1" w:firstRow="1" w:lastColumn="0" w:lastRow="0" w:noHBand="0" w:noVBand="1" w:val="04A0"/>
      </w:tblPr>
      <w:tblGrid>
        <w:gridCol w:w="4536"/>
        <w:gridCol w:w="4536"/>
      </w:tblGrid>
      <w:tr>
        <w:tc>
          <w:tcPr>
            <w:tcW w:type="dxa" w:w="2551"/>
            <w:shd w:val="clear" w:color="auto" w:fill="1F497D"/>
            <w:vAlign w:val="center"/>
          </w:tcPr>
          <w:p>
            <w:r>
              <w:rPr>
                <w:b/>
                <w:color w:val="FFFFFF"/>
                <w:sz w:val="18"/>
              </w:rPr>
              <w:t>Service</w:t>
            </w:r>
          </w:p>
        </w:tc>
        <w:tc>
          <w:tcPr>
            <w:tcW w:type="dxa" w:w="7370"/>
            <w:shd w:val="clear" w:color="auto" w:fill="1F497D"/>
            <w:vAlign w:val="center"/>
          </w:tcPr>
          <w:p>
            <w:r>
              <w:rPr>
                <w:b/>
                <w:color w:val="FFFFFF"/>
                <w:sz w:val="18"/>
              </w:rPr>
              <w:t>Details</w:t>
            </w:r>
          </w:p>
        </w:tc>
      </w:tr>
      <w:tr>
        <w:tc>
          <w:tcPr>
            <w:tcW w:type="dxa" w:w="2551"/>
            <w:shd w:val="clear" w:color="auto" w:fill="FFFFFF"/>
            <w:vAlign w:val="center"/>
          </w:tcPr>
          <w:p>
            <w:r>
              <w:rPr>
                <w:sz w:val="18"/>
              </w:rPr>
              <w:t>Electrical supply</w:t>
            </w:r>
          </w:p>
        </w:tc>
        <w:tc>
          <w:tcPr>
            <w:tcW w:type="dxa" w:w="7370"/>
            <w:shd w:val="clear" w:color="auto" w:fill="FFFFFF"/>
            <w:vAlign w:val="center"/>
          </w:tcPr>
          <w:p>
            <w:r>
              <w:rPr>
                <w:sz w:val="18"/>
              </w:rPr>
              <w:t>Three-phase 415 V — WA Power Networks connection at site entry</w:t>
            </w:r>
          </w:p>
        </w:tc>
      </w:tr>
      <w:tr>
        <w:tc>
          <w:tcPr>
            <w:tcW w:type="dxa" w:w="2551"/>
            <w:shd w:val="clear" w:color="auto" w:fill="F2F2F2"/>
            <w:vAlign w:val="center"/>
          </w:tcPr>
          <w:p>
            <w:r>
              <w:rPr>
                <w:sz w:val="18"/>
              </w:rPr>
              <w:t>Water supply</w:t>
            </w:r>
          </w:p>
        </w:tc>
        <w:tc>
          <w:tcPr>
            <w:tcW w:type="dxa" w:w="7370"/>
            <w:shd w:val="clear" w:color="auto" w:fill="F2F2F2"/>
            <w:vAlign w:val="center"/>
          </w:tcPr>
          <w:p>
            <w:r>
              <w:rPr>
                <w:sz w:val="18"/>
              </w:rPr>
              <w:t>mains water — 32 mm service</w:t>
            </w:r>
          </w:p>
        </w:tc>
      </w:tr>
      <w:tr>
        <w:tc>
          <w:tcPr>
            <w:tcW w:type="dxa" w:w="2551"/>
            <w:shd w:val="clear" w:color="auto" w:fill="FFFFFF"/>
            <w:vAlign w:val="center"/>
          </w:tcPr>
          <w:p>
            <w:r>
              <w:rPr>
                <w:sz w:val="18"/>
              </w:rPr>
              <w:t>Telecommunications</w:t>
            </w:r>
          </w:p>
        </w:tc>
        <w:tc>
          <w:tcPr>
            <w:tcW w:type="dxa" w:w="7370"/>
            <w:shd w:val="clear" w:color="auto" w:fill="FFFFFF"/>
            <w:vAlign w:val="center"/>
          </w:tcPr>
          <w:p>
            <w:r>
              <w:rPr>
                <w:sz w:val="18"/>
              </w:rPr>
              <w:t>NBN fixed line + mobile backup at administration/control room</w:t>
            </w:r>
          </w:p>
        </w:tc>
      </w:tr>
      <w:tr>
        <w:tc>
          <w:tcPr>
            <w:tcW w:type="dxa" w:w="2551"/>
            <w:shd w:val="clear" w:color="auto" w:fill="F2F2F2"/>
            <w:vAlign w:val="center"/>
          </w:tcPr>
          <w:p>
            <w:r>
              <w:rPr>
                <w:sz w:val="18"/>
              </w:rPr>
              <w:t>Sewerage</w:t>
            </w:r>
          </w:p>
        </w:tc>
        <w:tc>
          <w:tcPr>
            <w:tcW w:type="dxa" w:w="7370"/>
            <w:shd w:val="clear" w:color="auto" w:fill="F2F2F2"/>
            <w:vAlign w:val="center"/>
          </w:tcPr>
          <w:p>
            <w:r>
              <w:rPr>
                <w:sz w:val="18"/>
              </w:rPr>
              <w:t>Septic system — licensed — serves amenities block</w:t>
            </w:r>
          </w:p>
        </w:tc>
      </w:tr>
      <w:tr>
        <w:tc>
          <w:tcPr>
            <w:tcW w:type="dxa" w:w="2551"/>
            <w:shd w:val="clear" w:color="auto" w:fill="FFFFFF"/>
            <w:vAlign w:val="center"/>
          </w:tcPr>
          <w:p>
            <w:r>
              <w:rPr>
                <w:sz w:val="18"/>
              </w:rPr>
              <w:t>Stormwater</w:t>
            </w:r>
          </w:p>
        </w:tc>
        <w:tc>
          <w:tcPr>
            <w:tcW w:type="dxa" w:w="7370"/>
            <w:shd w:val="clear" w:color="auto" w:fill="FFFFFF"/>
            <w:vAlign w:val="center"/>
          </w:tcPr>
          <w:p>
            <w:r>
              <w:rPr>
                <w:sz w:val="18"/>
              </w:rPr>
              <w:t>Sheet flow to soakage trench with licensed discharge point</w:t>
            </w:r>
          </w:p>
        </w:tc>
      </w:tr>
      <w:tr>
        <w:tc>
          <w:tcPr>
            <w:tcW w:type="dxa" w:w="2551"/>
            <w:shd w:val="clear" w:color="auto" w:fill="F2F2F2"/>
            <w:vAlign w:val="center"/>
          </w:tcPr>
          <w:p>
            <w:r>
              <w:rPr>
                <w:sz w:val="18"/>
              </w:rPr>
              <w:t>Power backup</w:t>
            </w:r>
          </w:p>
        </w:tc>
        <w:tc>
          <w:tcPr>
            <w:tcW w:type="dxa" w:w="7370"/>
            <w:shd w:val="clear" w:color="auto" w:fill="F2F2F2"/>
            <w:vAlign w:val="center"/>
          </w:tcPr>
          <w:p>
            <w:r>
              <w:rPr>
                <w:sz w:val="18"/>
              </w:rPr>
              <w:t>60 kVA generator — auto-start on grid failure</w:t>
            </w:r>
          </w:p>
        </w:tc>
      </w:tr>
    </w:tbl>
    <w:p/>
    <w:p>
      <w:pPr>
        <w:pStyle w:val="Heading1"/>
      </w:pPr>
      <w:r>
        <w:rPr>
          <w:color w:val="1F497D"/>
        </w:rPr>
        <w:t>9.  AUTHORIWATION</w:t>
      </w:r>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Prepared By</w:t>
            </w:r>
          </w:p>
        </w:tc>
        <w:tc>
          <w:tcPr>
            <w:tcW w:type="dxa" w:w="6236"/>
            <w:vAlign w:val="center"/>
          </w:tcPr>
          <w:p>
            <w:r>
              <w:rPr>
                <w:sz w:val="18"/>
              </w:rPr>
              <w:t>Fay Jenkinson</w:t>
            </w:r>
          </w:p>
        </w:tc>
      </w:tr>
      <w:tr>
        <w:tc>
          <w:tcPr>
            <w:tcW w:type="dxa" w:w="3118"/>
            <w:shd w:val="clear" w:color="auto" w:fill="DCE6F1"/>
            <w:vAlign w:val="center"/>
          </w:tcPr>
          <w:p>
            <w:r>
              <w:rPr>
                <w:b/>
                <w:sz w:val="18"/>
              </w:rPr>
              <w:t>Position</w:t>
            </w:r>
          </w:p>
        </w:tc>
        <w:tc>
          <w:tcPr>
            <w:tcW w:type="dxa" w:w="6236"/>
            <w:vAlign w:val="center"/>
          </w:tcPr>
          <w:p>
            <w:r>
              <w:rPr>
                <w:sz w:val="18"/>
              </w:rPr>
              <w:t>Establishment Manager</w:t>
            </w:r>
          </w:p>
        </w:tc>
      </w:tr>
      <w:tr>
        <w:tc>
          <w:tcPr>
            <w:tcW w:type="dxa" w:w="3118"/>
            <w:shd w:val="clear" w:color="auto" w:fill="DCE6F1"/>
            <w:vAlign w:val="center"/>
          </w:tcPr>
          <w:p>
            <w:r>
              <w:rPr>
                <w:b/>
                <w:sz w:val="18"/>
              </w:rPr>
              <w:t>Date</w:t>
            </w:r>
          </w:p>
        </w:tc>
        <w:tc>
          <w:tcPr>
            <w:tcW w:type="dxa" w:w="6236"/>
            <w:vAlign w:val="center"/>
          </w:tcPr>
          <w:p>
            <w:r>
              <w:rPr>
                <w:sz w:val="18"/>
              </w:rPr>
              <w:t>12 May 2024</w:t>
            </w:r>
          </w:p>
        </w:tc>
      </w:tr>
      <w:tr>
        <w:tc>
          <w:tcPr>
            <w:tcW w:type="dxa" w:w="3118"/>
            <w:shd w:val="clear" w:color="auto" w:fill="DCE6F1"/>
            <w:vAlign w:val="center"/>
          </w:tcPr>
          <w:p>
            <w:r>
              <w:rPr>
                <w:b/>
                <w:sz w:val="18"/>
              </w:rPr>
              <w:t>Signature</w:t>
            </w:r>
          </w:p>
        </w:tc>
        <w:tc>
          <w:tcPr>
            <w:tcW w:type="dxa" w:w="6236"/>
            <w:vAlign w:val="center"/>
          </w:tcPr>
          <w:p>
            <w:r>
              <w:rPr>
                <w:sz w:val="18"/>
              </w:rPr>
            </w:r>
          </w:p>
        </w:tc>
      </w:tr>
      <w:tr>
        <w:tc>
          <w:tcPr>
            <w:tcW w:type="dxa" w:w="3118"/>
            <w:shd w:val="clear" w:color="auto" w:fill="DCE6F1"/>
            <w:vAlign w:val="center"/>
          </w:tcPr>
          <w:p>
            <w:r>
              <w:rPr>
                <w:b/>
                <w:sz w:val="18"/>
              </w:rPr>
              <w:t>Approved By</w:t>
            </w:r>
          </w:p>
        </w:tc>
        <w:tc>
          <w:tcPr>
            <w:tcW w:type="dxa" w:w="6236"/>
            <w:vAlign w:val="center"/>
          </w:tcPr>
          <w:p>
            <w:r>
              <w:rPr>
                <w:sz w:val="18"/>
              </w:rPr>
              <w:t>DAFF Authorised Officer</w:t>
            </w:r>
          </w:p>
        </w:tc>
      </w:tr>
      <w:tr>
        <w:tc>
          <w:tcPr>
            <w:tcW w:type="dxa" w:w="3118"/>
            <w:shd w:val="clear" w:color="auto" w:fill="DCE6F1"/>
            <w:vAlign w:val="center"/>
          </w:tcPr>
          <w:p>
            <w:r>
              <w:rPr>
                <w:b/>
                <w:sz w:val="18"/>
              </w:rPr>
              <w:t>Approval Date</w:t>
            </w:r>
          </w:p>
        </w:tc>
        <w:tc>
          <w:tcPr>
            <w:tcW w:type="dxa" w:w="6236"/>
            <w:vAlign w:val="center"/>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