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Kojonup Livestock and Grain</w:t>
            </w:r>
          </w:p>
        </w:tc>
      </w:tr>
      <w:tr>
        <w:tc>
          <w:tcPr>
            <w:tcW w:type="dxa" w:w="3118"/>
            <w:shd w:val="clear" w:color="auto" w:fill="DCE6F1"/>
            <w:vAlign w:val="center"/>
          </w:tcPr>
          <w:p>
            <w:r>
              <w:rPr>
                <w:b/>
                <w:sz w:val="18"/>
              </w:rPr>
              <w:t>RE Number</w:t>
            </w:r>
          </w:p>
        </w:tc>
        <w:tc>
          <w:tcPr>
            <w:tcW w:type="dxa" w:w="6236"/>
            <w:vAlign w:val="center"/>
          </w:tcPr>
          <w:p>
            <w:r>
              <w:rPr>
                <w:sz w:val="18"/>
              </w:rPr>
              <w:t>RE-WA-2022-0166</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11 Albany Highway, Kojonup WA 6395</w:t>
            </w:r>
          </w:p>
        </w:tc>
      </w:tr>
      <w:tr>
        <w:tc>
          <w:tcPr>
            <w:tcW w:type="dxa" w:w="3118"/>
            <w:shd w:val="clear" w:color="auto" w:fill="DCE6F1"/>
            <w:vAlign w:val="center"/>
          </w:tcPr>
          <w:p>
            <w:r>
              <w:rPr>
                <w:b/>
                <w:sz w:val="18"/>
              </w:rPr>
              <w:t>Registered Commodity</w:t>
            </w:r>
          </w:p>
        </w:tc>
        <w:tc>
          <w:tcPr>
            <w:tcW w:type="dxa" w:w="6236"/>
            <w:vAlign w:val="center"/>
          </w:tcPr>
          <w:p>
            <w:r>
              <w:rPr>
                <w:sz w:val="18"/>
              </w:rPr>
              <w:t>Berries</w:t>
            </w:r>
          </w:p>
        </w:tc>
      </w:tr>
      <w:tr>
        <w:tc>
          <w:tcPr>
            <w:tcW w:type="dxa" w:w="3118"/>
            <w:shd w:val="clear" w:color="auto" w:fill="DCE6F1"/>
            <w:vAlign w:val="center"/>
          </w:tcPr>
          <w:p>
            <w:r>
              <w:rPr>
                <w:b/>
                <w:sz w:val="18"/>
              </w:rPr>
              <w:t>Responsible Officer</w:t>
            </w:r>
          </w:p>
        </w:tc>
        <w:tc>
          <w:tcPr>
            <w:tcW w:type="dxa" w:w="6236"/>
            <w:vAlign w:val="center"/>
          </w:tcPr>
          <w:p>
            <w:r>
              <w:rPr>
                <w:sz w:val="18"/>
              </w:rPr>
              <w:t>Cathy Morgan</w:t>
            </w:r>
          </w:p>
        </w:tc>
      </w:tr>
      <w:tr>
        <w:tc>
          <w:tcPr>
            <w:tcW w:type="dxa" w:w="3118"/>
            <w:shd w:val="clear" w:color="auto" w:fill="DCE6F1"/>
            <w:vAlign w:val="center"/>
          </w:tcPr>
          <w:p>
            <w:r>
              <w:rPr>
                <w:b/>
                <w:sz w:val="18"/>
              </w:rPr>
              <w:t>Property Area</w:t>
            </w:r>
          </w:p>
        </w:tc>
        <w:tc>
          <w:tcPr>
            <w:tcW w:type="dxa" w:w="6236"/>
            <w:vAlign w:val="center"/>
          </w:tcPr>
          <w:p>
            <w:r>
              <w:rPr>
                <w:sz w:val="18"/>
              </w:rPr>
              <w:t>62.0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5 February 2024</w:t>
            </w:r>
          </w:p>
        </w:tc>
      </w:tr>
      <w:tr>
        <w:tc>
          <w:tcPr>
            <w:tcW w:type="dxa" w:w="3118"/>
            <w:shd w:val="clear" w:color="auto" w:fill="DCE6F1"/>
            <w:vAlign w:val="center"/>
          </w:tcPr>
          <w:p>
            <w:r>
              <w:rPr>
                <w:b/>
                <w:sz w:val="18"/>
              </w:rPr>
              <w:t>Next Review</w:t>
            </w:r>
          </w:p>
        </w:tc>
        <w:tc>
          <w:tcPr>
            <w:tcW w:type="dxa" w:w="6236"/>
            <w:vAlign w:val="center"/>
          </w:tcPr>
          <w:p>
            <w:r>
              <w:rPr>
                <w:sz w:val="18"/>
              </w:rPr>
              <w:t>5 February 2026</w:t>
            </w:r>
          </w:p>
        </w:tc>
      </w:tr>
    </w:tbl>
    <w:p/>
    <w:p>
      <w:pPr>
        <w:pStyle w:val="Heading1"/>
      </w:pPr>
      <w:r>
        <w:rPr>
          <w:color w:val="1F497D"/>
        </w:rPr>
        <w:t>1.  OVERVIEW</w:t>
      </w:r>
    </w:p>
    <w:p>
      <w:r>
        <w:rPr>
          <w:b w:val="0"/>
          <w:i w:val="0"/>
          <w:sz w:val="20"/>
        </w:rPr>
        <w:t>Kojonup Livestock and Grain is a registered export establishment located at 11 Albany Highway, Kojonup WA 6395, WA. The establishment holds RE Number RE-WA-2022-0166 and is registered to handle and export Berries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SERWAES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Berries.</w:t>
      </w:r>
    </w:p>
    <w:p>
      <w:pPr>
        <w:pStyle w:val="Heading2"/>
      </w:pPr>
      <w:r>
        <w:t>4.2  Lighting (C2)</w:t>
      </w:r>
    </w:p>
    <w:p>
      <w:r>
        <w:rPr>
          <w:b w:val="0"/>
          <w:i w:val="0"/>
          <w:sz w:val="20"/>
        </w:rPr>
        <w:t>T5 LED fluorescent panels on 600 mm spacing — 450 lux at floor level throughout processing area. Task lighting above grading line at 500 lux. Loading dock: 300 W LED floods at 342 lux. Emergency lighting on dedicated UPS circuit.</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2017, resealed 2022);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Wall surfaces are smooth and sealed. The concrete floor has developed crack networks (predominantly at construction joints and forklift routes) with crack widths 3–12 mm, providing harbourage for insects, grain residue and moisture. The floor was last sealed in 2022, but sealant has broken down in high-traffic areas. Door threshold seals on roller doors are in good condition.</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SERWAES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Cathy Morgan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5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