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FARM MANAGEMENT PLAN</w:t>
      </w:r>
    </w:p>
    <w:p/>
    <w:p>
      <w:pPr>
        <w:jc w:val="center"/>
      </w:pPr>
      <w:r>
        <w:rPr>
          <w:i/>
          <w:sz w:val="20"/>
        </w:rPr>
        <w:t>Registered Establishment — Export Control (Plants and Plant Products) Rules 2021</w:t>
      </w:r>
    </w:p>
    <w:p/>
    <w:tbl>
      <w:tblPr>
        <w:tblStyle w:val="TableGrid"/>
        <w:tblW w:type="auto" w:w="0"/>
        <w:tblLook w:firstColumn="1" w:firstRow="1" w:lastColumn="0" w:lastRow="0" w:noHBand="0" w:noVBand="1" w:val="04A0"/>
      </w:tblPr>
      <w:tblGrid>
        <w:gridCol w:w="4536"/>
        <w:gridCol w:w="4536"/>
      </w:tblGrid>
      <w:tr>
        <w:tc>
          <w:tcPr>
            <w:tcW w:type="dxa" w:w="3118"/>
            <w:shd w:val="clear" w:color="auto" w:fill="DCE6F1"/>
            <w:vAlign w:val="center"/>
          </w:tcPr>
          <w:p>
            <w:r>
              <w:rPr>
                <w:b/>
                <w:sz w:val="18"/>
              </w:rPr>
              <w:t>Establishment Name</w:t>
            </w:r>
          </w:p>
        </w:tc>
        <w:tc>
          <w:tcPr>
            <w:tcW w:type="dxa" w:w="6236"/>
            <w:vAlign w:val="center"/>
          </w:tcPr>
          <w:p>
            <w:r>
              <w:rPr>
                <w:sz w:val="18"/>
              </w:rPr>
              <w:t>Murchison River Grain</w:t>
            </w:r>
          </w:p>
        </w:tc>
      </w:tr>
      <w:tr>
        <w:tc>
          <w:tcPr>
            <w:tcW w:type="dxa" w:w="3118"/>
            <w:shd w:val="clear" w:color="auto" w:fill="DCE6F1"/>
            <w:vAlign w:val="center"/>
          </w:tcPr>
          <w:p>
            <w:r>
              <w:rPr>
                <w:b/>
                <w:sz w:val="18"/>
              </w:rPr>
              <w:t>RE Number</w:t>
            </w:r>
          </w:p>
        </w:tc>
        <w:tc>
          <w:tcPr>
            <w:tcW w:type="dxa" w:w="6236"/>
            <w:vAlign w:val="center"/>
          </w:tcPr>
          <w:p>
            <w:r>
              <w:rPr>
                <w:sz w:val="18"/>
              </w:rPr>
              <w:t>RE-WA-2022-0177</w:t>
            </w:r>
          </w:p>
        </w:tc>
      </w:tr>
      <w:tr>
        <w:tc>
          <w:tcPr>
            <w:tcW w:type="dxa" w:w="3118"/>
            <w:shd w:val="clear" w:color="auto" w:fill="DCE6F1"/>
            <w:vAlign w:val="center"/>
          </w:tcPr>
          <w:p>
            <w:r>
              <w:rPr>
                <w:b/>
                <w:sz w:val="18"/>
              </w:rPr>
              <w:t>State / Territory</w:t>
            </w:r>
          </w:p>
        </w:tc>
        <w:tc>
          <w:tcPr>
            <w:tcW w:type="dxa" w:w="6236"/>
            <w:vAlign w:val="center"/>
          </w:tcPr>
          <w:p>
            <w:r>
              <w:rPr>
                <w:sz w:val="18"/>
              </w:rPr>
              <w:t>WA</w:t>
            </w:r>
          </w:p>
        </w:tc>
      </w:tr>
      <w:tr>
        <w:tc>
          <w:tcPr>
            <w:tcW w:type="dxa" w:w="3118"/>
            <w:shd w:val="clear" w:color="auto" w:fill="DCE6F1"/>
            <w:vAlign w:val="center"/>
          </w:tcPr>
          <w:p>
            <w:r>
              <w:rPr>
                <w:b/>
                <w:sz w:val="18"/>
              </w:rPr>
              <w:t>Property Address</w:t>
            </w:r>
          </w:p>
        </w:tc>
        <w:tc>
          <w:tcPr>
            <w:tcW w:type="dxa" w:w="6236"/>
            <w:vAlign w:val="center"/>
          </w:tcPr>
          <w:p>
            <w:r>
              <w:rPr>
                <w:sz w:val="18"/>
              </w:rPr>
              <w:t>Lot 7 North West Coastal Highway, Northampton WA 6535</w:t>
            </w:r>
          </w:p>
        </w:tc>
      </w:tr>
      <w:tr>
        <w:tc>
          <w:tcPr>
            <w:tcW w:type="dxa" w:w="3118"/>
            <w:shd w:val="clear" w:color="auto" w:fill="DCE6F1"/>
            <w:vAlign w:val="center"/>
          </w:tcPr>
          <w:p>
            <w:r>
              <w:rPr>
                <w:b/>
                <w:sz w:val="18"/>
              </w:rPr>
              <w:t>Registered Commodity</w:t>
            </w:r>
          </w:p>
        </w:tc>
        <w:tc>
          <w:tcPr>
            <w:tcW w:type="dxa" w:w="6236"/>
            <w:vAlign w:val="center"/>
          </w:tcPr>
          <w:p>
            <w:r>
              <w:rPr>
                <w:sz w:val="18"/>
              </w:rPr>
              <w:t>Wheat</w:t>
            </w:r>
          </w:p>
        </w:tc>
      </w:tr>
      <w:tr>
        <w:tc>
          <w:tcPr>
            <w:tcW w:type="dxa" w:w="3118"/>
            <w:shd w:val="clear" w:color="auto" w:fill="DCE6F1"/>
            <w:vAlign w:val="center"/>
          </w:tcPr>
          <w:p>
            <w:r>
              <w:rPr>
                <w:b/>
                <w:sz w:val="18"/>
              </w:rPr>
              <w:t>Responsible Officer</w:t>
            </w:r>
          </w:p>
        </w:tc>
        <w:tc>
          <w:tcPr>
            <w:tcW w:type="dxa" w:w="6236"/>
            <w:vAlign w:val="center"/>
          </w:tcPr>
          <w:p>
            <w:r>
              <w:rPr>
                <w:sz w:val="18"/>
              </w:rPr>
              <w:t>Marcus Young</w:t>
            </w:r>
          </w:p>
        </w:tc>
      </w:tr>
      <w:tr>
        <w:tc>
          <w:tcPr>
            <w:tcW w:type="dxa" w:w="3118"/>
            <w:shd w:val="clear" w:color="auto" w:fill="DCE6F1"/>
            <w:vAlign w:val="center"/>
          </w:tcPr>
          <w:p>
            <w:r>
              <w:rPr>
                <w:b/>
                <w:sz w:val="18"/>
              </w:rPr>
              <w:t>Property Area</w:t>
            </w:r>
          </w:p>
        </w:tc>
        <w:tc>
          <w:tcPr>
            <w:tcW w:type="dxa" w:w="6236"/>
            <w:vAlign w:val="center"/>
          </w:tcPr>
          <w:p>
            <w:r>
              <w:rPr>
                <w:sz w:val="18"/>
              </w:rPr>
              <w:t>2600.0 ha</w:t>
            </w:r>
          </w:p>
        </w:tc>
      </w:tr>
      <w:tr>
        <w:tc>
          <w:tcPr>
            <w:tcW w:type="dxa" w:w="3118"/>
            <w:shd w:val="clear" w:color="auto" w:fill="DCE6F1"/>
            <w:vAlign w:val="center"/>
          </w:tcPr>
          <w:p>
            <w:r>
              <w:rPr>
                <w:b/>
                <w:sz w:val="18"/>
              </w:rPr>
              <w:t>Year Established</w:t>
            </w:r>
          </w:p>
        </w:tc>
        <w:tc>
          <w:tcPr>
            <w:tcW w:type="dxa" w:w="6236"/>
            <w:vAlign w:val="center"/>
          </w:tcPr>
          <w:p>
            <w:r>
              <w:rPr>
                <w:sz w:val="18"/>
              </w:rPr>
              <w:t>2014</w:t>
            </w:r>
          </w:p>
        </w:tc>
      </w:tr>
      <w:tr>
        <w:tc>
          <w:tcPr>
            <w:tcW w:type="dxa" w:w="3118"/>
            <w:shd w:val="clear" w:color="auto" w:fill="DCE6F1"/>
            <w:vAlign w:val="center"/>
          </w:tcPr>
          <w:p>
            <w:r>
              <w:rPr>
                <w:b/>
                <w:sz w:val="18"/>
              </w:rPr>
              <w:t>Document Version</w:t>
            </w:r>
          </w:p>
        </w:tc>
        <w:tc>
          <w:tcPr>
            <w:tcW w:type="dxa" w:w="6236"/>
            <w:vAlign w:val="center"/>
          </w:tcPr>
          <w:p>
            <w:r>
              <w:rPr>
                <w:sz w:val="18"/>
              </w:rPr>
              <w:t>2.1</w:t>
            </w:r>
          </w:p>
        </w:tc>
      </w:tr>
      <w:tr>
        <w:tc>
          <w:tcPr>
            <w:tcW w:type="dxa" w:w="3118"/>
            <w:shd w:val="clear" w:color="auto" w:fill="DCE6F1"/>
            <w:vAlign w:val="center"/>
          </w:tcPr>
          <w:p>
            <w:r>
              <w:rPr>
                <w:b/>
                <w:sz w:val="18"/>
              </w:rPr>
              <w:t>Plan Date</w:t>
            </w:r>
          </w:p>
        </w:tc>
        <w:tc>
          <w:tcPr>
            <w:tcW w:type="dxa" w:w="6236"/>
            <w:vAlign w:val="center"/>
          </w:tcPr>
          <w:p>
            <w:r>
              <w:rPr>
                <w:sz w:val="18"/>
              </w:rPr>
              <w:t>25 March 2024</w:t>
            </w:r>
          </w:p>
        </w:tc>
      </w:tr>
      <w:tr>
        <w:tc>
          <w:tcPr>
            <w:tcW w:type="dxa" w:w="3118"/>
            <w:shd w:val="clear" w:color="auto" w:fill="DCE6F1"/>
            <w:vAlign w:val="center"/>
          </w:tcPr>
          <w:p>
            <w:r>
              <w:rPr>
                <w:b/>
                <w:sz w:val="18"/>
              </w:rPr>
              <w:t>Next Review</w:t>
            </w:r>
          </w:p>
        </w:tc>
        <w:tc>
          <w:tcPr>
            <w:tcW w:type="dxa" w:w="6236"/>
            <w:vAlign w:val="center"/>
          </w:tcPr>
          <w:p>
            <w:r>
              <w:rPr>
                <w:sz w:val="18"/>
              </w:rPr>
              <w:t>25 March 2026</w:t>
            </w:r>
          </w:p>
        </w:tc>
      </w:tr>
    </w:tbl>
    <w:p/>
    <w:p>
      <w:pPr>
        <w:pStyle w:val="Heading1"/>
      </w:pPr>
      <w:r>
        <w:rPr>
          <w:color w:val="1F497D"/>
        </w:rPr>
        <w:t>1.  OVERVIEW</w:t>
      </w:r>
    </w:p>
    <w:p>
      <w:r>
        <w:rPr>
          <w:b w:val="0"/>
          <w:i w:val="0"/>
          <w:sz w:val="20"/>
        </w:rPr>
        <w:t>Murchison River Grain is a registered export establishment located at Lot 7 North West Coastal Highway, Northampton WA 6535, WA. The establishment holds RE Number RE-WA-2022-0177 and is registered to handle and export Wheat under the Export Control (Plants and Plant Products) Rules 2021. This Farm Management Plan documents the physical infrastructure, equipment, facilities, design standards, waste management arrangements and establishment condition relevant to compliance with Chapter 4 of the Rules and the DAFF Performance Standards IMLS-12-3742.</w:t>
      </w:r>
    </w:p>
    <w:p/>
    <w:p>
      <w:pPr>
        <w:pStyle w:val="Heading1"/>
      </w:pPr>
      <w:r>
        <w:rPr>
          <w:color w:val="1F497D"/>
        </w:rPr>
        <w:t>2.  BUILDINGS AND INFRASTRUCTURE</w:t>
      </w:r>
    </w:p>
    <w:p>
      <w:r>
        <w:rPr>
          <w:i/>
          <w:color w:val="555555"/>
          <w:sz w:val="18"/>
        </w:rPr>
        <w:t>Rules s4-2 — buildings, equipment, facilities and services required for export operations</w:t>
      </w: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850"/>
            <w:shd w:val="clear" w:color="auto" w:fill="1F497D"/>
            <w:vAlign w:val="center"/>
          </w:tcPr>
          <w:p>
            <w:r>
              <w:rPr>
                <w:b/>
                <w:color w:val="FFFFFF"/>
                <w:sz w:val="18"/>
              </w:rPr>
              <w:t>Code</w:t>
            </w:r>
          </w:p>
        </w:tc>
        <w:tc>
          <w:tcPr>
            <w:tcW w:type="dxa" w:w="3118"/>
            <w:shd w:val="clear" w:color="auto" w:fill="1F497D"/>
            <w:vAlign w:val="center"/>
          </w:tcPr>
          <w:p>
            <w:r>
              <w:rPr>
                <w:b/>
                <w:color w:val="FFFFFF"/>
                <w:sz w:val="18"/>
              </w:rPr>
              <w:t>Building / Structure</w:t>
            </w:r>
          </w:p>
        </w:tc>
        <w:tc>
          <w:tcPr>
            <w:tcW w:type="dxa" w:w="1587"/>
            <w:shd w:val="clear" w:color="auto" w:fill="1F497D"/>
            <w:vAlign w:val="center"/>
          </w:tcPr>
          <w:p>
            <w:r>
              <w:rPr>
                <w:b/>
                <w:color w:val="FFFFFF"/>
                <w:sz w:val="18"/>
              </w:rPr>
              <w:t>Dimensions</w:t>
            </w:r>
          </w:p>
        </w:tc>
        <w:tc>
          <w:tcPr>
            <w:tcW w:type="dxa" w:w="1984"/>
            <w:shd w:val="clear" w:color="auto" w:fill="1F497D"/>
            <w:vAlign w:val="center"/>
          </w:tcPr>
          <w:p>
            <w:r>
              <w:rPr>
                <w:b/>
                <w:color w:val="FFFFFF"/>
                <w:sz w:val="18"/>
              </w:rPr>
              <w:t>Construction</w:t>
            </w:r>
          </w:p>
        </w:tc>
        <w:tc>
          <w:tcPr>
            <w:tcW w:type="dxa" w:w="2381"/>
            <w:shd w:val="clear" w:color="auto" w:fill="1F497D"/>
            <w:vAlign w:val="center"/>
          </w:tcPr>
          <w:p>
            <w:r>
              <w:rPr>
                <w:b/>
                <w:color w:val="FFFFFF"/>
                <w:sz w:val="18"/>
              </w:rPr>
              <w:t>Location</w:t>
            </w:r>
          </w:p>
        </w:tc>
      </w:tr>
      <w:tr>
        <w:tc>
          <w:tcPr>
            <w:tcW w:type="dxa" w:w="850"/>
            <w:shd w:val="clear" w:color="auto" w:fill="FFFFFF"/>
            <w:vAlign w:val="center"/>
          </w:tcPr>
          <w:p>
            <w:r>
              <w:rPr>
                <w:sz w:val="18"/>
              </w:rPr>
              <w:t>WB</w:t>
            </w:r>
          </w:p>
        </w:tc>
        <w:tc>
          <w:tcPr>
            <w:tcW w:type="dxa" w:w="3118"/>
            <w:shd w:val="clear" w:color="auto" w:fill="FFFFFF"/>
            <w:vAlign w:val="center"/>
          </w:tcPr>
          <w:p>
            <w:r>
              <w:rPr>
                <w:sz w:val="18"/>
              </w:rPr>
              <w:t>Weighbridge + Control Room</w:t>
            </w:r>
          </w:p>
        </w:tc>
        <w:tc>
          <w:tcPr>
            <w:tcW w:type="dxa" w:w="1587"/>
            <w:shd w:val="clear" w:color="auto" w:fill="FFFFFF"/>
            <w:vAlign w:val="center"/>
          </w:tcPr>
          <w:p>
            <w:r>
              <w:rPr>
                <w:sz w:val="18"/>
              </w:rPr>
              <w:t>12×6 m</w:t>
            </w:r>
          </w:p>
        </w:tc>
        <w:tc>
          <w:tcPr>
            <w:tcW w:type="dxa" w:w="1984"/>
            <w:shd w:val="clear" w:color="auto" w:fill="FFFFFF"/>
            <w:vAlign w:val="center"/>
          </w:tcPr>
          <w:p>
            <w:r>
              <w:rPr>
                <w:sz w:val="18"/>
              </w:rPr>
              <w:t>Steel portal, concrete pit</w:t>
            </w:r>
          </w:p>
        </w:tc>
        <w:tc>
          <w:tcPr>
            <w:tcW w:type="dxa" w:w="2381"/>
            <w:shd w:val="clear" w:color="auto" w:fill="FFFFFF"/>
            <w:vAlign w:val="center"/>
          </w:tcPr>
          <w:p>
            <w:r>
              <w:rPr>
                <w:sz w:val="18"/>
              </w:rPr>
              <w:t>North entry — road access</w:t>
            </w:r>
          </w:p>
        </w:tc>
      </w:tr>
      <w:tr>
        <w:tc>
          <w:tcPr>
            <w:tcW w:type="dxa" w:w="850"/>
            <w:shd w:val="clear" w:color="auto" w:fill="F2F2F2"/>
            <w:vAlign w:val="center"/>
          </w:tcPr>
          <w:p>
            <w:r>
              <w:rPr>
                <w:sz w:val="18"/>
              </w:rPr>
              <w:t>RB</w:t>
            </w:r>
          </w:p>
        </w:tc>
        <w:tc>
          <w:tcPr>
            <w:tcW w:type="dxa" w:w="3118"/>
            <w:shd w:val="clear" w:color="auto" w:fill="F2F2F2"/>
            <w:vAlign w:val="center"/>
          </w:tcPr>
          <w:p>
            <w:r>
              <w:rPr>
                <w:sz w:val="18"/>
              </w:rPr>
              <w:t>Receival Building</w:t>
            </w:r>
          </w:p>
        </w:tc>
        <w:tc>
          <w:tcPr>
            <w:tcW w:type="dxa" w:w="1587"/>
            <w:shd w:val="clear" w:color="auto" w:fill="F2F2F2"/>
            <w:vAlign w:val="center"/>
          </w:tcPr>
          <w:p>
            <w:r>
              <w:rPr>
                <w:sz w:val="18"/>
              </w:rPr>
              <w:t>30×18 m</w:t>
            </w:r>
          </w:p>
        </w:tc>
        <w:tc>
          <w:tcPr>
            <w:tcW w:type="dxa" w:w="1984"/>
            <w:shd w:val="clear" w:color="auto" w:fill="F2F2F2"/>
            <w:vAlign w:val="center"/>
          </w:tcPr>
          <w:p>
            <w:r>
              <w:rPr>
                <w:sz w:val="18"/>
              </w:rPr>
              <w:t>Steel portal, smooth concrete floor</w:t>
            </w:r>
          </w:p>
        </w:tc>
        <w:tc>
          <w:tcPr>
            <w:tcW w:type="dxa" w:w="2381"/>
            <w:shd w:val="clear" w:color="auto" w:fill="F2F2F2"/>
            <w:vAlign w:val="center"/>
          </w:tcPr>
          <w:p>
            <w:r>
              <w:rPr>
                <w:sz w:val="18"/>
              </w:rPr>
              <w:t>Centre-north of site</w:t>
            </w:r>
          </w:p>
        </w:tc>
      </w:tr>
      <w:tr>
        <w:tc>
          <w:tcPr>
            <w:tcW w:type="dxa" w:w="850"/>
            <w:shd w:val="clear" w:color="auto" w:fill="FFFFFF"/>
            <w:vAlign w:val="center"/>
          </w:tcPr>
          <w:p>
            <w:r>
              <w:rPr>
                <w:sz w:val="18"/>
              </w:rPr>
              <w:t>S1–S6</w:t>
            </w:r>
          </w:p>
        </w:tc>
        <w:tc>
          <w:tcPr>
            <w:tcW w:type="dxa" w:w="3118"/>
            <w:shd w:val="clear" w:color="auto" w:fill="FFFFFF"/>
            <w:vAlign w:val="center"/>
          </w:tcPr>
          <w:p>
            <w:r>
              <w:rPr>
                <w:sz w:val="18"/>
              </w:rPr>
              <w:t>Storage Silos ×6 (2,500 t ea)</w:t>
            </w:r>
          </w:p>
        </w:tc>
        <w:tc>
          <w:tcPr>
            <w:tcW w:type="dxa" w:w="1587"/>
            <w:shd w:val="clear" w:color="auto" w:fill="FFFFFF"/>
            <w:vAlign w:val="center"/>
          </w:tcPr>
          <w:p>
            <w:r>
              <w:rPr>
                <w:sz w:val="18"/>
              </w:rPr>
              <w:t>Dia. 12 m</w:t>
            </w:r>
          </w:p>
        </w:tc>
        <w:tc>
          <w:tcPr>
            <w:tcW w:type="dxa" w:w="1984"/>
            <w:shd w:val="clear" w:color="auto" w:fill="FFFFFF"/>
            <w:vAlign w:val="center"/>
          </w:tcPr>
          <w:p>
            <w:r>
              <w:rPr>
                <w:sz w:val="18"/>
              </w:rPr>
              <w:t>Galvanised steel on concrete ring beams</w:t>
            </w:r>
          </w:p>
        </w:tc>
        <w:tc>
          <w:tcPr>
            <w:tcW w:type="dxa" w:w="2381"/>
            <w:shd w:val="clear" w:color="auto" w:fill="FFFFFF"/>
            <w:vAlign w:val="center"/>
          </w:tcPr>
          <w:p>
            <w:r>
              <w:rPr>
                <w:sz w:val="18"/>
              </w:rPr>
              <w:t>Central cluster</w:t>
            </w:r>
          </w:p>
        </w:tc>
      </w:tr>
      <w:tr>
        <w:tc>
          <w:tcPr>
            <w:tcW w:type="dxa" w:w="850"/>
            <w:shd w:val="clear" w:color="auto" w:fill="F2F2F2"/>
            <w:vAlign w:val="center"/>
          </w:tcPr>
          <w:p>
            <w:r>
              <w:rPr>
                <w:sz w:val="18"/>
              </w:rPr>
              <w:t>PL</w:t>
            </w:r>
          </w:p>
        </w:tc>
        <w:tc>
          <w:tcPr>
            <w:tcW w:type="dxa" w:w="3118"/>
            <w:shd w:val="clear" w:color="auto" w:fill="F2F2F2"/>
            <w:vAlign w:val="center"/>
          </w:tcPr>
          <w:p>
            <w:r>
              <w:rPr>
                <w:sz w:val="18"/>
              </w:rPr>
              <w:t>Packing &amp; Load-Out Shed</w:t>
            </w:r>
          </w:p>
        </w:tc>
        <w:tc>
          <w:tcPr>
            <w:tcW w:type="dxa" w:w="1587"/>
            <w:shd w:val="clear" w:color="auto" w:fill="F2F2F2"/>
            <w:vAlign w:val="center"/>
          </w:tcPr>
          <w:p>
            <w:r>
              <w:rPr>
                <w:sz w:val="18"/>
              </w:rPr>
              <w:t>28×18 m</w:t>
            </w:r>
          </w:p>
        </w:tc>
        <w:tc>
          <w:tcPr>
            <w:tcW w:type="dxa" w:w="1984"/>
            <w:shd w:val="clear" w:color="auto" w:fill="F2F2F2"/>
            <w:vAlign w:val="center"/>
          </w:tcPr>
          <w:p>
            <w:r>
              <w:rPr>
                <w:sz w:val="18"/>
              </w:rPr>
              <w:t>Tilt-up concrete panels</w:t>
            </w:r>
          </w:p>
        </w:tc>
        <w:tc>
          <w:tcPr>
            <w:tcW w:type="dxa" w:w="2381"/>
            <w:shd w:val="clear" w:color="auto" w:fill="F2F2F2"/>
            <w:vAlign w:val="center"/>
          </w:tcPr>
          <w:p>
            <w:r>
              <w:rPr>
                <w:sz w:val="18"/>
              </w:rPr>
              <w:t>South end of site</w:t>
            </w:r>
          </w:p>
        </w:tc>
      </w:tr>
      <w:tr>
        <w:tc>
          <w:tcPr>
            <w:tcW w:type="dxa" w:w="850"/>
            <w:shd w:val="clear" w:color="auto" w:fill="FFFFFF"/>
            <w:vAlign w:val="center"/>
          </w:tcPr>
          <w:p>
            <w:r>
              <w:rPr>
                <w:sz w:val="18"/>
              </w:rPr>
              <w:t>AM</w:t>
            </w:r>
          </w:p>
        </w:tc>
        <w:tc>
          <w:tcPr>
            <w:tcW w:type="dxa" w:w="3118"/>
            <w:shd w:val="clear" w:color="auto" w:fill="FFFFFF"/>
            <w:vAlign w:val="center"/>
          </w:tcPr>
          <w:p>
            <w:r>
              <w:rPr>
                <w:sz w:val="18"/>
              </w:rPr>
              <w:t>Amenities Block</w:t>
            </w:r>
          </w:p>
        </w:tc>
        <w:tc>
          <w:tcPr>
            <w:tcW w:type="dxa" w:w="1587"/>
            <w:shd w:val="clear" w:color="auto" w:fill="FFFFFF"/>
            <w:vAlign w:val="center"/>
          </w:tcPr>
          <w:p>
            <w:r>
              <w:rPr>
                <w:sz w:val="18"/>
              </w:rPr>
              <w:t>8×5 m</w:t>
            </w:r>
          </w:p>
        </w:tc>
        <w:tc>
          <w:tcPr>
            <w:tcW w:type="dxa" w:w="1984"/>
            <w:shd w:val="clear" w:color="auto" w:fill="FFFFFF"/>
            <w:vAlign w:val="center"/>
          </w:tcPr>
          <w:p>
            <w:r>
              <w:rPr>
                <w:sz w:val="18"/>
              </w:rPr>
              <w:t>Brick, self-contained</w:t>
            </w:r>
          </w:p>
        </w:tc>
        <w:tc>
          <w:tcPr>
            <w:tcW w:type="dxa" w:w="2381"/>
            <w:shd w:val="clear" w:color="auto" w:fill="FFFFFF"/>
            <w:vAlign w:val="center"/>
          </w:tcPr>
          <w:p>
            <w:r>
              <w:rPr>
                <w:sz w:val="18"/>
              </w:rPr>
              <w:t>Adjacent to RB</w:t>
            </w:r>
          </w:p>
        </w:tc>
      </w:tr>
      <w:tr>
        <w:tc>
          <w:tcPr>
            <w:tcW w:type="dxa" w:w="850"/>
            <w:shd w:val="clear" w:color="auto" w:fill="F2F2F2"/>
            <w:vAlign w:val="center"/>
          </w:tcPr>
          <w:p>
            <w:r>
              <w:rPr>
                <w:sz w:val="18"/>
              </w:rPr>
              <w:t>CS</w:t>
            </w:r>
          </w:p>
        </w:tc>
        <w:tc>
          <w:tcPr>
            <w:tcW w:type="dxa" w:w="3118"/>
            <w:shd w:val="clear" w:color="auto" w:fill="F2F2F2"/>
            <w:vAlign w:val="center"/>
          </w:tcPr>
          <w:p>
            <w:r>
              <w:rPr>
                <w:sz w:val="18"/>
              </w:rPr>
              <w:t>Chemical &amp; Lubricant Store</w:t>
            </w:r>
          </w:p>
        </w:tc>
        <w:tc>
          <w:tcPr>
            <w:tcW w:type="dxa" w:w="1587"/>
            <w:shd w:val="clear" w:color="auto" w:fill="F2F2F2"/>
            <w:vAlign w:val="center"/>
          </w:tcPr>
          <w:p>
            <w:r>
              <w:rPr>
                <w:sz w:val="18"/>
              </w:rPr>
              <w:t>6×4 m</w:t>
            </w:r>
          </w:p>
        </w:tc>
        <w:tc>
          <w:tcPr>
            <w:tcW w:type="dxa" w:w="1984"/>
            <w:shd w:val="clear" w:color="auto" w:fill="F2F2F2"/>
            <w:vAlign w:val="center"/>
          </w:tcPr>
          <w:p>
            <w:r>
              <w:rPr>
                <w:sz w:val="18"/>
              </w:rPr>
              <w:t>Steel, bunded slab</w:t>
            </w:r>
          </w:p>
        </w:tc>
        <w:tc>
          <w:tcPr>
            <w:tcW w:type="dxa" w:w="2381"/>
            <w:shd w:val="clear" w:color="auto" w:fill="F2F2F2"/>
            <w:vAlign w:val="center"/>
          </w:tcPr>
          <w:p>
            <w:r>
              <w:rPr>
                <w:sz w:val="18"/>
              </w:rPr>
              <w:t>15 m from PL</w:t>
            </w:r>
          </w:p>
        </w:tc>
      </w:tr>
      <w:tr>
        <w:tc>
          <w:tcPr>
            <w:tcW w:type="dxa" w:w="850"/>
            <w:shd w:val="clear" w:color="auto" w:fill="FFFFFF"/>
            <w:vAlign w:val="center"/>
          </w:tcPr>
          <w:p>
            <w:r>
              <w:rPr>
                <w:sz w:val="18"/>
              </w:rPr>
              <w:t>IB</w:t>
            </w:r>
          </w:p>
        </w:tc>
        <w:tc>
          <w:tcPr>
            <w:tcW w:type="dxa" w:w="3118"/>
            <w:shd w:val="clear" w:color="auto" w:fill="FFFFFF"/>
            <w:vAlign w:val="center"/>
          </w:tcPr>
          <w:p>
            <w:r>
              <w:rPr>
                <w:sz w:val="18"/>
              </w:rPr>
              <w:t>DAFF Inspection Room</w:t>
            </w:r>
          </w:p>
        </w:tc>
        <w:tc>
          <w:tcPr>
            <w:tcW w:type="dxa" w:w="1587"/>
            <w:shd w:val="clear" w:color="auto" w:fill="FFFFFF"/>
            <w:vAlign w:val="center"/>
          </w:tcPr>
          <w:p>
            <w:r>
              <w:rPr>
                <w:sz w:val="18"/>
              </w:rPr>
              <w:t>6×5 m</w:t>
            </w:r>
          </w:p>
        </w:tc>
        <w:tc>
          <w:tcPr>
            <w:tcW w:type="dxa" w:w="1984"/>
            <w:shd w:val="clear" w:color="auto" w:fill="FFFFFF"/>
            <w:vAlign w:val="center"/>
          </w:tcPr>
          <w:p>
            <w:r>
              <w:rPr>
                <w:sz w:val="18"/>
              </w:rPr>
              <w:t>Enclosed steel room</w:t>
            </w:r>
          </w:p>
        </w:tc>
        <w:tc>
          <w:tcPr>
            <w:tcW w:type="dxa" w:w="2381"/>
            <w:shd w:val="clear" w:color="auto" w:fill="FFFFFF"/>
            <w:vAlign w:val="center"/>
          </w:tcPr>
          <w:p>
            <w:r>
              <w:rPr>
                <w:sz w:val="18"/>
              </w:rPr>
              <w:t>Between RB and PL</w:t>
            </w:r>
          </w:p>
        </w:tc>
      </w:tr>
    </w:tbl>
    <w:p/>
    <w:p>
      <w:pPr>
        <w:pStyle w:val="Heading1"/>
      </w:pPr>
      <w:r>
        <w:rPr>
          <w:color w:val="1F497D"/>
        </w:rPr>
        <w:t>3.  EQUIPMENT AND MACHINERY</w:t>
      </w:r>
    </w:p>
    <w:p>
      <w:r>
        <w:rPr>
          <w:i/>
          <w:color w:val="555555"/>
          <w:sz w:val="18"/>
        </w:rPr>
        <w:t>Rules s4-2(4) — equipment adequate for the type of export operations conducted</w:t>
      </w:r>
    </w:p>
    <w:tbl>
      <w:tblPr>
        <w:tblStyle w:val="TableGrid"/>
        <w:tblW w:type="auto" w:w="0"/>
        <w:jc w:val="left"/>
        <w:tblLook w:firstColumn="1" w:firstRow="1" w:lastColumn="0" w:lastRow="0" w:noHBand="0" w:noVBand="1" w:val="04A0"/>
      </w:tblPr>
      <w:tblGrid>
        <w:gridCol w:w="3024"/>
        <w:gridCol w:w="3024"/>
        <w:gridCol w:w="3024"/>
      </w:tblGrid>
      <w:tr>
        <w:tc>
          <w:tcPr>
            <w:tcW w:type="dxa" w:w="3685"/>
            <w:shd w:val="clear" w:color="auto" w:fill="1F497D"/>
            <w:vAlign w:val="center"/>
          </w:tcPr>
          <w:p>
            <w:r>
              <w:rPr>
                <w:b/>
                <w:color w:val="FFFFFF"/>
                <w:sz w:val="18"/>
              </w:rPr>
              <w:t>Item</w:t>
            </w:r>
          </w:p>
        </w:tc>
        <w:tc>
          <w:tcPr>
            <w:tcW w:type="dxa" w:w="1984"/>
            <w:shd w:val="clear" w:color="auto" w:fill="1F497D"/>
            <w:vAlign w:val="center"/>
          </w:tcPr>
          <w:p>
            <w:r>
              <w:rPr>
                <w:b/>
                <w:color w:val="FFFFFF"/>
                <w:sz w:val="18"/>
              </w:rPr>
              <w:t>Quantity / Spec</w:t>
            </w:r>
          </w:p>
        </w:tc>
        <w:tc>
          <w:tcPr>
            <w:tcW w:type="dxa" w:w="4252"/>
            <w:shd w:val="clear" w:color="auto" w:fill="1F497D"/>
            <w:vAlign w:val="center"/>
          </w:tcPr>
          <w:p>
            <w:r>
              <w:rPr>
                <w:b/>
                <w:color w:val="FFFFFF"/>
                <w:sz w:val="18"/>
              </w:rPr>
              <w:t>Purpose</w:t>
            </w:r>
          </w:p>
        </w:tc>
      </w:tr>
      <w:tr>
        <w:tc>
          <w:tcPr>
            <w:tcW w:type="dxa" w:w="3685"/>
            <w:shd w:val="clear" w:color="auto" w:fill="FFFFFF"/>
            <w:vAlign w:val="center"/>
          </w:tcPr>
          <w:p>
            <w:r>
              <w:rPr>
                <w:sz w:val="18"/>
              </w:rPr>
              <w:t>Grain augers</w:t>
            </w:r>
          </w:p>
        </w:tc>
        <w:tc>
          <w:tcPr>
            <w:tcW w:type="dxa" w:w="1984"/>
            <w:shd w:val="clear" w:color="auto" w:fill="FFFFFF"/>
            <w:vAlign w:val="center"/>
          </w:tcPr>
          <w:p>
            <w:r>
              <w:rPr>
                <w:sz w:val="18"/>
              </w:rPr>
              <w:t>×6</w:t>
            </w:r>
          </w:p>
        </w:tc>
        <w:tc>
          <w:tcPr>
            <w:tcW w:type="dxa" w:w="4252"/>
            <w:shd w:val="clear" w:color="auto" w:fill="FFFFFF"/>
            <w:vAlign w:val="center"/>
          </w:tcPr>
          <w:p>
            <w:r>
              <w:rPr>
                <w:sz w:val="18"/>
              </w:rPr>
              <w:t>Transfer and load-out</w:t>
            </w:r>
          </w:p>
        </w:tc>
      </w:tr>
      <w:tr>
        <w:tc>
          <w:tcPr>
            <w:tcW w:type="dxa" w:w="3685"/>
            <w:shd w:val="clear" w:color="auto" w:fill="F2F2F2"/>
            <w:vAlign w:val="center"/>
          </w:tcPr>
          <w:p>
            <w:r>
              <w:rPr>
                <w:sz w:val="18"/>
              </w:rPr>
              <w:t>Belt conveyors (sealed)</w:t>
            </w:r>
          </w:p>
        </w:tc>
        <w:tc>
          <w:tcPr>
            <w:tcW w:type="dxa" w:w="1984"/>
            <w:shd w:val="clear" w:color="auto" w:fill="F2F2F2"/>
            <w:vAlign w:val="center"/>
          </w:tcPr>
          <w:p>
            <w:r>
              <w:rPr>
                <w:sz w:val="18"/>
              </w:rPr>
              <w:t>×3</w:t>
            </w:r>
          </w:p>
        </w:tc>
        <w:tc>
          <w:tcPr>
            <w:tcW w:type="dxa" w:w="4252"/>
            <w:shd w:val="clear" w:color="auto" w:fill="F2F2F2"/>
            <w:vAlign w:val="center"/>
          </w:tcPr>
          <w:p>
            <w:r>
              <w:rPr>
                <w:sz w:val="18"/>
              </w:rPr>
              <w:t>Receival to storage</w:t>
            </w:r>
          </w:p>
        </w:tc>
      </w:tr>
      <w:tr>
        <w:tc>
          <w:tcPr>
            <w:tcW w:type="dxa" w:w="3685"/>
            <w:shd w:val="clear" w:color="auto" w:fill="FFFFFF"/>
            <w:vAlign w:val="center"/>
          </w:tcPr>
          <w:p>
            <w:r>
              <w:rPr>
                <w:sz w:val="18"/>
              </w:rPr>
              <w:t>Continuous-flow dryer</w:t>
            </w:r>
          </w:p>
        </w:tc>
        <w:tc>
          <w:tcPr>
            <w:tcW w:type="dxa" w:w="1984"/>
            <w:shd w:val="clear" w:color="auto" w:fill="FFFFFF"/>
            <w:vAlign w:val="center"/>
          </w:tcPr>
          <w:p>
            <w:r>
              <w:rPr>
                <w:sz w:val="18"/>
              </w:rPr>
              <w:t>1 unit</w:t>
            </w:r>
          </w:p>
        </w:tc>
        <w:tc>
          <w:tcPr>
            <w:tcW w:type="dxa" w:w="4252"/>
            <w:shd w:val="clear" w:color="auto" w:fill="FFFFFF"/>
            <w:vAlign w:val="center"/>
          </w:tcPr>
          <w:p>
            <w:r>
              <w:rPr>
                <w:sz w:val="18"/>
              </w:rPr>
              <w:t>Moisture conditioning</w:t>
            </w:r>
          </w:p>
        </w:tc>
      </w:tr>
      <w:tr>
        <w:tc>
          <w:tcPr>
            <w:tcW w:type="dxa" w:w="3685"/>
            <w:shd w:val="clear" w:color="auto" w:fill="F2F2F2"/>
            <w:vAlign w:val="center"/>
          </w:tcPr>
          <w:p>
            <w:r>
              <w:rPr>
                <w:sz w:val="18"/>
              </w:rPr>
              <w:t>Weighbridge system</w:t>
            </w:r>
          </w:p>
        </w:tc>
        <w:tc>
          <w:tcPr>
            <w:tcW w:type="dxa" w:w="1984"/>
            <w:shd w:val="clear" w:color="auto" w:fill="F2F2F2"/>
            <w:vAlign w:val="center"/>
          </w:tcPr>
          <w:p>
            <w:r>
              <w:rPr>
                <w:sz w:val="18"/>
              </w:rPr>
              <w:t>80 t rated</w:t>
            </w:r>
          </w:p>
        </w:tc>
        <w:tc>
          <w:tcPr>
            <w:tcW w:type="dxa" w:w="4252"/>
            <w:shd w:val="clear" w:color="auto" w:fill="F2F2F2"/>
            <w:vAlign w:val="center"/>
          </w:tcPr>
          <w:p>
            <w:r>
              <w:rPr>
                <w:sz w:val="18"/>
              </w:rPr>
              <w:t>Inbound/outbound verification</w:t>
            </w:r>
          </w:p>
        </w:tc>
      </w:tr>
      <w:tr>
        <w:tc>
          <w:tcPr>
            <w:tcW w:type="dxa" w:w="3685"/>
            <w:shd w:val="clear" w:color="auto" w:fill="FFFFFF"/>
            <w:vAlign w:val="center"/>
          </w:tcPr>
          <w:p>
            <w:r>
              <w:rPr>
                <w:sz w:val="18"/>
              </w:rPr>
              <w:t>Grain quality analyser (NIR)</w:t>
            </w:r>
          </w:p>
        </w:tc>
        <w:tc>
          <w:tcPr>
            <w:tcW w:type="dxa" w:w="1984"/>
            <w:shd w:val="clear" w:color="auto" w:fill="FFFFFF"/>
            <w:vAlign w:val="center"/>
          </w:tcPr>
          <w:p>
            <w:r>
              <w:rPr>
                <w:sz w:val="18"/>
              </w:rPr>
              <w:t>In-line</w:t>
            </w:r>
          </w:p>
        </w:tc>
        <w:tc>
          <w:tcPr>
            <w:tcW w:type="dxa" w:w="4252"/>
            <w:shd w:val="clear" w:color="auto" w:fill="FFFFFF"/>
            <w:vAlign w:val="center"/>
          </w:tcPr>
          <w:p>
            <w:r>
              <w:rPr>
                <w:sz w:val="18"/>
              </w:rPr>
              <w:t>Protein, moisture, oil testing</w:t>
            </w:r>
          </w:p>
        </w:tc>
      </w:tr>
      <w:tr>
        <w:tc>
          <w:tcPr>
            <w:tcW w:type="dxa" w:w="3685"/>
            <w:shd w:val="clear" w:color="auto" w:fill="F2F2F2"/>
            <w:vAlign w:val="center"/>
          </w:tcPr>
          <w:p>
            <w:r>
              <w:rPr>
                <w:sz w:val="18"/>
              </w:rPr>
              <w:t>Rotary screen cleaner</w:t>
            </w:r>
          </w:p>
        </w:tc>
        <w:tc>
          <w:tcPr>
            <w:tcW w:type="dxa" w:w="1984"/>
            <w:shd w:val="clear" w:color="auto" w:fill="F2F2F2"/>
            <w:vAlign w:val="center"/>
          </w:tcPr>
          <w:p>
            <w:r>
              <w:rPr>
                <w:sz w:val="18"/>
              </w:rPr>
              <w:t>1 unit</w:t>
            </w:r>
          </w:p>
        </w:tc>
        <w:tc>
          <w:tcPr>
            <w:tcW w:type="dxa" w:w="4252"/>
            <w:shd w:val="clear" w:color="auto" w:fill="F2F2F2"/>
            <w:vAlign w:val="center"/>
          </w:tcPr>
          <w:p>
            <w:r>
              <w:rPr>
                <w:sz w:val="18"/>
              </w:rPr>
              <w:t>Pre-storage cleaning</w:t>
            </w:r>
          </w:p>
        </w:tc>
      </w:tr>
      <w:tr>
        <w:tc>
          <w:tcPr>
            <w:tcW w:type="dxa" w:w="3685"/>
            <w:shd w:val="clear" w:color="auto" w:fill="FFFFFF"/>
            <w:vAlign w:val="center"/>
          </w:tcPr>
          <w:p>
            <w:r>
              <w:rPr>
                <w:sz w:val="18"/>
              </w:rPr>
              <w:t>In-line belt sampler</w:t>
            </w:r>
          </w:p>
        </w:tc>
        <w:tc>
          <w:tcPr>
            <w:tcW w:type="dxa" w:w="1984"/>
            <w:shd w:val="clear" w:color="auto" w:fill="FFFFFF"/>
            <w:vAlign w:val="center"/>
          </w:tcPr>
          <w:p>
            <w:r>
              <w:rPr>
                <w:sz w:val="18"/>
              </w:rPr>
              <w:t>1 unit</w:t>
            </w:r>
          </w:p>
        </w:tc>
        <w:tc>
          <w:tcPr>
            <w:tcW w:type="dxa" w:w="4252"/>
            <w:shd w:val="clear" w:color="auto" w:fill="FFFFFF"/>
            <w:vAlign w:val="center"/>
          </w:tcPr>
          <w:p>
            <w:r>
              <w:rPr>
                <w:sz w:val="18"/>
              </w:rPr>
              <w:t>Representative lot sampling</w:t>
            </w:r>
          </w:p>
        </w:tc>
      </w:tr>
    </w:tbl>
    <w:p/>
    <w:p>
      <w:pPr>
        <w:pStyle w:val="Heading1"/>
      </w:pPr>
      <w:r>
        <w:rPr>
          <w:color w:val="1F497D"/>
        </w:rPr>
        <w:t>4.  FACILITIES AND SERVICES</w:t>
      </w:r>
    </w:p>
    <w:p>
      <w:r>
        <w:rPr>
          <w:i/>
          <w:color w:val="555555"/>
          <w:sz w:val="18"/>
        </w:rPr>
        <w:t>Rules s4-2 — Element 2.1 checking points C1, C2, C3</w:t>
      </w:r>
    </w:p>
    <w:p>
      <w:pPr>
        <w:pStyle w:val="Heading2"/>
      </w:pPr>
      <w:r>
        <w:t>4.1  Buildings, Equipment and Facilities (C1)</w:t>
      </w:r>
    </w:p>
    <w:p>
      <w:r>
        <w:rPr>
          <w:b w:val="0"/>
          <w:i w:val="0"/>
          <w:sz w:val="20"/>
        </w:rPr>
        <w:t>The establishment has all buildings, equipment, facilities and services required for the registered export operations. Facilities are maintained in an operational condition appropriate for handling and exporting Wheat.</w:t>
      </w:r>
    </w:p>
    <w:p>
      <w:pPr>
        <w:pStyle w:val="Heading2"/>
      </w:pPr>
      <w:r>
        <w:t>4.2  Lighting (C2)</w:t>
      </w:r>
    </w:p>
    <w:p>
      <w:r>
        <w:rPr>
          <w:b w:val="0"/>
          <w:i w:val="0"/>
          <w:sz w:val="20"/>
        </w:rPr>
        <w:t>LED high-bay luminaires throughout: 550 lux processing, 440 lux storage, 418 lux load-out. All levels comply with AS/NZS 1680.2.1. Photocell-activated perimeter lighting for after-hours vehicle movements.</w:t>
      </w:r>
    </w:p>
    <w:p>
      <w:pPr>
        <w:pStyle w:val="Heading2"/>
      </w:pPr>
      <w:r>
        <w:t>4.3  Handwashing and Toilet Facilities (C3)</w:t>
      </w:r>
    </w:p>
    <w:p>
      <w:r>
        <w:rPr>
          <w:b w:val="0"/>
          <w:i w:val="0"/>
          <w:sz w:val="20"/>
        </w:rPr>
        <w:t>Amenities block adjacent to processing entry: 2 toilets, 2 hand basins (hot/cold, liquid soap, paper towels). Additional hand basin at packing hall entry — no-touch sensor tap, soap, paper towel roll. 'Wash hands before handling product' signage at all wash points.</w:t>
      </w:r>
    </w:p>
    <w:p/>
    <w:p>
      <w:pPr>
        <w:pStyle w:val="Heading1"/>
      </w:pPr>
      <w:r>
        <w:rPr>
          <w:color w:val="1F497D"/>
        </w:rPr>
        <w:t>5.  DESIGN AND CONSTRUCTION STANDARDS</w:t>
      </w:r>
    </w:p>
    <w:p>
      <w:r>
        <w:rPr>
          <w:i/>
          <w:color w:val="555555"/>
          <w:sz w:val="18"/>
        </w:rPr>
        <w:t>Rules s4-2(5), s4-2(6) — Element 2.2 checking points C4, C5, C6</w:t>
      </w:r>
    </w:p>
    <w:p>
      <w:pPr>
        <w:pStyle w:val="Heading2"/>
      </w:pPr>
      <w:r>
        <w:t>5.1  Cleanability (C4)</w:t>
      </w:r>
    </w:p>
    <w:p>
      <w:r>
        <w:rPr>
          <w:b w:val="0"/>
          <w:i w:val="0"/>
          <w:sz w:val="20"/>
        </w:rPr>
        <w:t>Internal surfaces: smooth-finish epoxy-sealed concrete floors with 80 mm coved skirting; smooth food-grade colourbond wall linings to 2.4 m; recessed drains with stainless-steel grates. All equipment on adjustable SS feet ≥150 mm off floor. Equipment housings open fully for pressure-wash access. Cleaning schedule specifies full washdown between commodity lots.</w:t>
      </w:r>
    </w:p>
    <w:p>
      <w:pPr>
        <w:pStyle w:val="Heading2"/>
      </w:pPr>
      <w:r>
        <w:t>5.2  Contamination and Pest Harbourage Minimisation (C5)</w:t>
      </w:r>
    </w:p>
    <w:p>
      <w:r>
        <w:rPr>
          <w:b w:val="0"/>
          <w:i w:val="0"/>
          <w:sz w:val="20"/>
        </w:rPr>
        <w:t>The building envelope was sealed at original construction (2014). At the most recent maintenance inspection, the following areas requiring attention were noted: gaps of 15–35 mm at the north roof-wall junction where roofing sheets meet the gable framing; three unsealed conduit penetrations on the east wall (~20 mm dia. each); ventilation louvres on the south wall retain the original fibreglass insect screen — worn with several tears. Temporary spray-foam applied to the gable gaps.</w:t>
      </w:r>
    </w:p>
    <w:p>
      <w:pPr>
        <w:pStyle w:val="Heading2"/>
      </w:pPr>
      <w:r>
        <w:t>5.3  Waste Disposal Design (C6)</w:t>
      </w:r>
    </w:p>
    <w:p>
      <w:r>
        <w:rPr>
          <w:b w:val="0"/>
          <w:i w:val="0"/>
          <w:sz w:val="20"/>
        </w:rPr>
        <w:t>Liquid waste via flush-recessed floor drains to bunded underground sump (3000 L) outside the building; pump-out by licensed contractor weekly or when 80% full. Solid waste in sealed labelled bins at designated collection points; removed to covered external waste bay daily. Dust via cyclone separator — collection bags changed fortnightly. All waste areas bunded and roofed.</w:t>
      </w:r>
    </w:p>
    <w:p/>
    <w:p>
      <w:pPr>
        <w:pStyle w:val="Heading1"/>
      </w:pPr>
      <w:r>
        <w:rPr>
          <w:color w:val="1F497D"/>
        </w:rPr>
        <w:t>6.  WASTE MANAGEMENT SYSTEM</w:t>
      </w:r>
    </w:p>
    <w:p>
      <w:r>
        <w:rPr>
          <w:i/>
          <w:color w:val="555555"/>
          <w:sz w:val="18"/>
        </w:rPr>
        <w:t>Rules s4-7A(2)(a) — Element 3.1 checking point C7</w:t>
      </w:r>
    </w:p>
    <w:p>
      <w:pPr>
        <w:pStyle w:val="Heading2"/>
      </w:pPr>
      <w:r>
        <w:t>6.1  Waste Management Procedures (C7)</w:t>
      </w:r>
    </w:p>
    <w:p>
      <w:r>
        <w:rPr>
          <w:b w:val="0"/>
          <w:i w:val="0"/>
          <w:sz w:val="20"/>
        </w:rPr>
        <w:t>Documented Waste Management Procedure (WMP-1401 Rev 1): specifies daily spillage sweep, weekly sump pump-out, post-commodity full shed washdown. Responsibilities assigned to named positions. Records in waste management log (Form WL-001) retained ≥2 years. Procedure reviewed annually by establishment manager.</w:t>
      </w:r>
    </w:p>
    <w:p/>
    <w:p>
      <w:r>
        <w:rPr>
          <w:b/>
          <w:i w:val="0"/>
          <w:sz w:val="20"/>
        </w:rPr>
        <w:t>Waste streams and handling arrangements:</w:t>
      </w:r>
    </w:p>
    <w:tbl>
      <w:tblPr>
        <w:tblStyle w:val="TableGrid"/>
        <w:tblW w:type="auto" w:w="0"/>
        <w:jc w:val="left"/>
        <w:tblLook w:firstColumn="1" w:firstRow="1" w:lastColumn="0" w:lastRow="0" w:noHBand="0" w:noVBand="1" w:val="04A0"/>
      </w:tblPr>
      <w:tblGrid>
        <w:gridCol w:w="3024"/>
        <w:gridCol w:w="3024"/>
        <w:gridCol w:w="3024"/>
      </w:tblGrid>
      <w:tr>
        <w:tc>
          <w:tcPr>
            <w:tcW w:type="dxa" w:w="2835"/>
            <w:shd w:val="clear" w:color="auto" w:fill="1F497D"/>
            <w:vAlign w:val="center"/>
          </w:tcPr>
          <w:p>
            <w:r>
              <w:rPr>
                <w:b/>
                <w:color w:val="FFFFFF"/>
                <w:sz w:val="18"/>
              </w:rPr>
              <w:t>Waste Type</w:t>
            </w:r>
          </w:p>
        </w:tc>
        <w:tc>
          <w:tcPr>
            <w:tcW w:type="dxa" w:w="4252"/>
            <w:shd w:val="clear" w:color="auto" w:fill="1F497D"/>
            <w:vAlign w:val="center"/>
          </w:tcPr>
          <w:p>
            <w:r>
              <w:rPr>
                <w:b/>
                <w:color w:val="FFFFFF"/>
                <w:sz w:val="18"/>
              </w:rPr>
              <w:t>Handling Method</w:t>
            </w:r>
          </w:p>
        </w:tc>
        <w:tc>
          <w:tcPr>
            <w:tcW w:type="dxa" w:w="2835"/>
            <w:shd w:val="clear" w:color="auto" w:fill="1F497D"/>
            <w:vAlign w:val="center"/>
          </w:tcPr>
          <w:p>
            <w:r>
              <w:rPr>
                <w:b/>
                <w:color w:val="FFFFFF"/>
                <w:sz w:val="18"/>
              </w:rPr>
              <w:t>Removal Frequency</w:t>
            </w:r>
          </w:p>
        </w:tc>
      </w:tr>
      <w:tr>
        <w:tc>
          <w:tcPr>
            <w:tcW w:type="dxa" w:w="2835"/>
            <w:shd w:val="clear" w:color="auto" w:fill="FFFFFF"/>
            <w:vAlign w:val="center"/>
          </w:tcPr>
          <w:p>
            <w:r>
              <w:rPr>
                <w:sz w:val="18"/>
              </w:rPr>
              <w:t>Grain spillage</w:t>
            </w:r>
          </w:p>
        </w:tc>
        <w:tc>
          <w:tcPr>
            <w:tcW w:type="dxa" w:w="4252"/>
            <w:shd w:val="clear" w:color="auto" w:fill="FFFFFF"/>
            <w:vAlign w:val="center"/>
          </w:tcPr>
          <w:p>
            <w:r>
              <w:rPr>
                <w:sz w:val="18"/>
              </w:rPr>
              <w:t>Sealed collection bins under auger/conveyor discharge</w:t>
            </w:r>
          </w:p>
        </w:tc>
        <w:tc>
          <w:tcPr>
            <w:tcW w:type="dxa" w:w="2835"/>
            <w:shd w:val="clear" w:color="auto" w:fill="FFFFFF"/>
            <w:vAlign w:val="center"/>
          </w:tcPr>
          <w:p>
            <w:r>
              <w:rPr>
                <w:sz w:val="18"/>
              </w:rPr>
              <w:t>Daily removal</w:t>
            </w:r>
          </w:p>
        </w:tc>
      </w:tr>
      <w:tr>
        <w:tc>
          <w:tcPr>
            <w:tcW w:type="dxa" w:w="2835"/>
            <w:shd w:val="clear" w:color="auto" w:fill="F2F2F2"/>
            <w:vAlign w:val="center"/>
          </w:tcPr>
          <w:p>
            <w:r>
              <w:rPr>
                <w:sz w:val="18"/>
              </w:rPr>
              <w:t>Grain dust</w:t>
            </w:r>
          </w:p>
        </w:tc>
        <w:tc>
          <w:tcPr>
            <w:tcW w:type="dxa" w:w="4252"/>
            <w:shd w:val="clear" w:color="auto" w:fill="F2F2F2"/>
            <w:vAlign w:val="center"/>
          </w:tcPr>
          <w:p>
            <w:r>
              <w:rPr>
                <w:sz w:val="18"/>
              </w:rPr>
              <w:t>Cyclone separator → sealed collection bags</w:t>
            </w:r>
          </w:p>
        </w:tc>
        <w:tc>
          <w:tcPr>
            <w:tcW w:type="dxa" w:w="2835"/>
            <w:shd w:val="clear" w:color="auto" w:fill="F2F2F2"/>
            <w:vAlign w:val="center"/>
          </w:tcPr>
          <w:p>
            <w:r>
              <w:rPr>
                <w:sz w:val="18"/>
              </w:rPr>
              <w:t>Fortnightly bag disposal</w:t>
            </w:r>
          </w:p>
        </w:tc>
      </w:tr>
      <w:tr>
        <w:tc>
          <w:tcPr>
            <w:tcW w:type="dxa" w:w="2835"/>
            <w:shd w:val="clear" w:color="auto" w:fill="FFFFFF"/>
            <w:vAlign w:val="center"/>
          </w:tcPr>
          <w:p>
            <w:r>
              <w:rPr>
                <w:sz w:val="18"/>
              </w:rPr>
              <w:t>Washdown water</w:t>
            </w:r>
          </w:p>
        </w:tc>
        <w:tc>
          <w:tcPr>
            <w:tcW w:type="dxa" w:w="4252"/>
            <w:shd w:val="clear" w:color="auto" w:fill="FFFFFF"/>
            <w:vAlign w:val="center"/>
          </w:tcPr>
          <w:p>
            <w:r>
              <w:rPr>
                <w:sz w:val="18"/>
              </w:rPr>
              <w:t>Floor drains → bunded sump</w:t>
            </w:r>
          </w:p>
        </w:tc>
        <w:tc>
          <w:tcPr>
            <w:tcW w:type="dxa" w:w="2835"/>
            <w:shd w:val="clear" w:color="auto" w:fill="FFFFFF"/>
            <w:vAlign w:val="center"/>
          </w:tcPr>
          <w:p>
            <w:r>
              <w:rPr>
                <w:sz w:val="18"/>
              </w:rPr>
              <w:t>Weekly pump-out</w:t>
            </w:r>
          </w:p>
        </w:tc>
      </w:tr>
      <w:tr>
        <w:tc>
          <w:tcPr>
            <w:tcW w:type="dxa" w:w="2835"/>
            <w:shd w:val="clear" w:color="auto" w:fill="F2F2F2"/>
            <w:vAlign w:val="center"/>
          </w:tcPr>
          <w:p>
            <w:r>
              <w:rPr>
                <w:sz w:val="18"/>
              </w:rPr>
              <w:t>Packaging waste</w:t>
            </w:r>
          </w:p>
        </w:tc>
        <w:tc>
          <w:tcPr>
            <w:tcW w:type="dxa" w:w="4252"/>
            <w:shd w:val="clear" w:color="auto" w:fill="F2F2F2"/>
            <w:vAlign w:val="center"/>
          </w:tcPr>
          <w:p>
            <w:r>
              <w:rPr>
                <w:sz w:val="18"/>
              </w:rPr>
              <w:t>Compressor baler in waste bay</w:t>
            </w:r>
          </w:p>
        </w:tc>
        <w:tc>
          <w:tcPr>
            <w:tcW w:type="dxa" w:w="2835"/>
            <w:shd w:val="clear" w:color="auto" w:fill="F2F2F2"/>
            <w:vAlign w:val="center"/>
          </w:tcPr>
          <w:p>
            <w:r>
              <w:rPr>
                <w:sz w:val="18"/>
              </w:rPr>
              <w:t>Monthly contractor collection</w:t>
            </w:r>
          </w:p>
        </w:tc>
      </w:tr>
      <w:tr>
        <w:tc>
          <w:tcPr>
            <w:tcW w:type="dxa" w:w="2835"/>
            <w:shd w:val="clear" w:color="auto" w:fill="FFFFFF"/>
            <w:vAlign w:val="center"/>
          </w:tcPr>
          <w:p>
            <w:r>
              <w:rPr>
                <w:sz w:val="18"/>
              </w:rPr>
              <w:t>Chemical containers</w:t>
            </w:r>
          </w:p>
        </w:tc>
        <w:tc>
          <w:tcPr>
            <w:tcW w:type="dxa" w:w="4252"/>
            <w:shd w:val="clear" w:color="auto" w:fill="FFFFFF"/>
            <w:vAlign w:val="center"/>
          </w:tcPr>
          <w:p>
            <w:r>
              <w:rPr>
                <w:sz w:val="18"/>
              </w:rPr>
              <w:t>Labelled, sealed store</w:t>
            </w:r>
          </w:p>
        </w:tc>
        <w:tc>
          <w:tcPr>
            <w:tcW w:type="dxa" w:w="2835"/>
            <w:shd w:val="clear" w:color="auto" w:fill="FFFFFF"/>
            <w:vAlign w:val="center"/>
          </w:tcPr>
          <w:p>
            <w:r>
              <w:rPr>
                <w:sz w:val="18"/>
              </w:rPr>
              <w:t>Licensed waste contractor quarterly</w:t>
            </w:r>
          </w:p>
        </w:tc>
      </w:tr>
    </w:tbl>
    <w:p/>
    <w:p>
      <w:pPr>
        <w:pStyle w:val="Heading1"/>
      </w:pPr>
      <w:r>
        <w:rPr>
          <w:color w:val="1F497D"/>
        </w:rPr>
        <w:t>7.  ESTABLISHMENT CONDITION</w:t>
      </w:r>
    </w:p>
    <w:p>
      <w:r>
        <w:rPr>
          <w:i/>
          <w:color w:val="555555"/>
          <w:sz w:val="18"/>
        </w:rPr>
        <w:t>Rules s4-6 — Element 3.4 (C8) and Element 3.5 (C9)</w:t>
      </w:r>
    </w:p>
    <w:p>
      <w:pPr>
        <w:pStyle w:val="Heading2"/>
      </w:pPr>
      <w:r>
        <w:t>7.1  Hygiene and Cleanliness (C8)</w:t>
      </w:r>
    </w:p>
    <w:p>
      <w:r>
        <w:rPr>
          <w:b w:val="0"/>
          <w:i w:val="0"/>
          <w:sz w:val="20"/>
        </w:rPr>
        <w:t>All areas are clean and tidy at inspection. Floors swept and dry — no accumulated wheat residue, spillage or debris observed. Wall surfaces free from dust and product residue. Equipment cleaned after each production run per cleaning schedule. Amenities block clean; consumables stocked. Drain covers in place and clear.</w:t>
      </w:r>
    </w:p>
    <w:p>
      <w:pPr>
        <w:pStyle w:val="Heading2"/>
      </w:pPr>
      <w:r>
        <w:t>7.2  Pest Condition (C9)</w:t>
      </w:r>
    </w:p>
    <w:p>
      <w:r>
        <w:rPr>
          <w:b w:val="0"/>
          <w:i w:val="0"/>
          <w:sz w:val="20"/>
        </w:rPr>
        <w:t>No pest activity detected at most recent internal inspection. All rodent bait stations serviceable and baited — no evidence of feeding. Insect monitoring traps (pheromone and sticky) show no target species above threshold levels. No evidence of bird ingress. Last fumigation: 2024 (routine, bin rotation).</w:t>
      </w:r>
    </w:p>
    <w:p/>
    <w:p>
      <w:pPr>
        <w:pStyle w:val="Heading1"/>
      </w:pPr>
      <w:r>
        <w:rPr>
          <w:color w:val="1F497D"/>
        </w:rPr>
        <w:t>8.  SERVICES</w:t>
      </w:r>
    </w:p>
    <w:tbl>
      <w:tblPr>
        <w:tblStyle w:val="TableGrid"/>
        <w:tblW w:type="auto" w:w="0"/>
        <w:jc w:val="left"/>
        <w:tblLook w:firstColumn="1" w:firstRow="1" w:lastColumn="0" w:lastRow="0" w:noHBand="0" w:noVBand="1" w:val="04A0"/>
      </w:tblPr>
      <w:tblGrid>
        <w:gridCol w:w="4536"/>
        <w:gridCol w:w="4536"/>
      </w:tblGrid>
      <w:tr>
        <w:tc>
          <w:tcPr>
            <w:tcW w:type="dxa" w:w="2551"/>
            <w:shd w:val="clear" w:color="auto" w:fill="1F497D"/>
            <w:vAlign w:val="center"/>
          </w:tcPr>
          <w:p>
            <w:r>
              <w:rPr>
                <w:b/>
                <w:color w:val="FFFFFF"/>
                <w:sz w:val="18"/>
              </w:rPr>
              <w:t>Service</w:t>
            </w:r>
          </w:p>
        </w:tc>
        <w:tc>
          <w:tcPr>
            <w:tcW w:type="dxa" w:w="7370"/>
            <w:shd w:val="clear" w:color="auto" w:fill="1F497D"/>
            <w:vAlign w:val="center"/>
          </w:tcPr>
          <w:p>
            <w:r>
              <w:rPr>
                <w:b/>
                <w:color w:val="FFFFFF"/>
                <w:sz w:val="18"/>
              </w:rPr>
              <w:t>Details</w:t>
            </w:r>
          </w:p>
        </w:tc>
      </w:tr>
      <w:tr>
        <w:tc>
          <w:tcPr>
            <w:tcW w:type="dxa" w:w="2551"/>
            <w:shd w:val="clear" w:color="auto" w:fill="FFFFFF"/>
            <w:vAlign w:val="center"/>
          </w:tcPr>
          <w:p>
            <w:r>
              <w:rPr>
                <w:sz w:val="18"/>
              </w:rPr>
              <w:t>Electrical supply</w:t>
            </w:r>
          </w:p>
        </w:tc>
        <w:tc>
          <w:tcPr>
            <w:tcW w:type="dxa" w:w="7370"/>
            <w:shd w:val="clear" w:color="auto" w:fill="FFFFFF"/>
            <w:vAlign w:val="center"/>
          </w:tcPr>
          <w:p>
            <w:r>
              <w:rPr>
                <w:sz w:val="18"/>
              </w:rPr>
              <w:t>Three-phase 415 V — Ausgrid/Endeavour Energy connection at site entry</w:t>
            </w:r>
          </w:p>
        </w:tc>
      </w:tr>
      <w:tr>
        <w:tc>
          <w:tcPr>
            <w:tcW w:type="dxa" w:w="2551"/>
            <w:shd w:val="clear" w:color="auto" w:fill="F2F2F2"/>
            <w:vAlign w:val="center"/>
          </w:tcPr>
          <w:p>
            <w:r>
              <w:rPr>
                <w:sz w:val="18"/>
              </w:rPr>
              <w:t>Water supply</w:t>
            </w:r>
          </w:p>
        </w:tc>
        <w:tc>
          <w:tcPr>
            <w:tcW w:type="dxa" w:w="7370"/>
            <w:shd w:val="clear" w:color="auto" w:fill="F2F2F2"/>
            <w:vAlign w:val="center"/>
          </w:tcPr>
          <w:p>
            <w:r>
              <w:rPr>
                <w:sz w:val="18"/>
              </w:rPr>
              <w:t>mains + irrigation licence — 50 mm service</w:t>
            </w:r>
          </w:p>
        </w:tc>
      </w:tr>
      <w:tr>
        <w:tc>
          <w:tcPr>
            <w:tcW w:type="dxa" w:w="2551"/>
            <w:shd w:val="clear" w:color="auto" w:fill="FFFFFF"/>
            <w:vAlign w:val="center"/>
          </w:tcPr>
          <w:p>
            <w:r>
              <w:rPr>
                <w:sz w:val="18"/>
              </w:rPr>
              <w:t>Telecommunications</w:t>
            </w:r>
          </w:p>
        </w:tc>
        <w:tc>
          <w:tcPr>
            <w:tcW w:type="dxa" w:w="7370"/>
            <w:shd w:val="clear" w:color="auto" w:fill="FFFFFF"/>
            <w:vAlign w:val="center"/>
          </w:tcPr>
          <w:p>
            <w:r>
              <w:rPr>
                <w:sz w:val="18"/>
              </w:rPr>
              <w:t>NBN fixed line + mobile backup at administration/control room</w:t>
            </w:r>
          </w:p>
        </w:tc>
      </w:tr>
      <w:tr>
        <w:tc>
          <w:tcPr>
            <w:tcW w:type="dxa" w:w="2551"/>
            <w:shd w:val="clear" w:color="auto" w:fill="F2F2F2"/>
            <w:vAlign w:val="center"/>
          </w:tcPr>
          <w:p>
            <w:r>
              <w:rPr>
                <w:sz w:val="18"/>
              </w:rPr>
              <w:t>Sewerage</w:t>
            </w:r>
          </w:p>
        </w:tc>
        <w:tc>
          <w:tcPr>
            <w:tcW w:type="dxa" w:w="7370"/>
            <w:shd w:val="clear" w:color="auto" w:fill="F2F2F2"/>
            <w:vAlign w:val="center"/>
          </w:tcPr>
          <w:p>
            <w:r>
              <w:rPr>
                <w:sz w:val="18"/>
              </w:rPr>
              <w:t>Licensed trade waste — EPA approval — serves amenities block</w:t>
            </w:r>
          </w:p>
        </w:tc>
      </w:tr>
      <w:tr>
        <w:tc>
          <w:tcPr>
            <w:tcW w:type="dxa" w:w="2551"/>
            <w:shd w:val="clear" w:color="auto" w:fill="FFFFFF"/>
            <w:vAlign w:val="center"/>
          </w:tcPr>
          <w:p>
            <w:r>
              <w:rPr>
                <w:sz w:val="18"/>
              </w:rPr>
              <w:t>Stormwater</w:t>
            </w:r>
          </w:p>
        </w:tc>
        <w:tc>
          <w:tcPr>
            <w:tcW w:type="dxa" w:w="7370"/>
            <w:shd w:val="clear" w:color="auto" w:fill="FFFFFF"/>
            <w:vAlign w:val="center"/>
          </w:tcPr>
          <w:p>
            <w:r>
              <w:rPr>
                <w:sz w:val="18"/>
              </w:rPr>
              <w:t>Graded hardstand to retention basin with licensed discharge point</w:t>
            </w:r>
          </w:p>
        </w:tc>
      </w:tr>
      <w:tr>
        <w:tc>
          <w:tcPr>
            <w:tcW w:type="dxa" w:w="2551"/>
            <w:shd w:val="clear" w:color="auto" w:fill="F2F2F2"/>
            <w:vAlign w:val="center"/>
          </w:tcPr>
          <w:p>
            <w:r>
              <w:rPr>
                <w:sz w:val="18"/>
              </w:rPr>
              <w:t>Power backup</w:t>
            </w:r>
          </w:p>
        </w:tc>
        <w:tc>
          <w:tcPr>
            <w:tcW w:type="dxa" w:w="7370"/>
            <w:shd w:val="clear" w:color="auto" w:fill="F2F2F2"/>
            <w:vAlign w:val="center"/>
          </w:tcPr>
          <w:p>
            <w:r>
              <w:rPr>
                <w:sz w:val="18"/>
              </w:rPr>
              <w:t>200 kVA diesel generator — auto-start on grid failure</w:t>
            </w:r>
          </w:p>
        </w:tc>
      </w:tr>
    </w:tbl>
    <w:p/>
    <w:p>
      <w:pPr>
        <w:pStyle w:val="Heading1"/>
      </w:pPr>
      <w:r>
        <w:rPr>
          <w:color w:val="1F497D"/>
        </w:rPr>
        <w:t>9.  AUTHORISATION</w:t>
      </w:r>
    </w:p>
    <w:tbl>
      <w:tblPr>
        <w:tblStyle w:val="TableGrid"/>
        <w:tblW w:type="auto" w:w="0"/>
        <w:tblLook w:firstColumn="1" w:firstRow="1" w:lastColumn="0" w:lastRow="0" w:noHBand="0" w:noVBand="1" w:val="04A0"/>
      </w:tblPr>
      <w:tblGrid>
        <w:gridCol w:w="4536"/>
        <w:gridCol w:w="4536"/>
      </w:tblGrid>
      <w:tr>
        <w:tc>
          <w:tcPr>
            <w:tcW w:type="dxa" w:w="3118"/>
            <w:shd w:val="clear" w:color="auto" w:fill="DCE6F1"/>
            <w:vAlign w:val="center"/>
          </w:tcPr>
          <w:p>
            <w:r>
              <w:rPr>
                <w:b/>
                <w:sz w:val="18"/>
              </w:rPr>
              <w:t>Prepared By</w:t>
            </w:r>
          </w:p>
        </w:tc>
        <w:tc>
          <w:tcPr>
            <w:tcW w:type="dxa" w:w="6236"/>
            <w:vAlign w:val="center"/>
          </w:tcPr>
          <w:p>
            <w:r>
              <w:rPr>
                <w:sz w:val="18"/>
              </w:rPr>
              <w:t>Marcus Young</w:t>
            </w:r>
          </w:p>
        </w:tc>
      </w:tr>
      <w:tr>
        <w:tc>
          <w:tcPr>
            <w:tcW w:type="dxa" w:w="3118"/>
            <w:shd w:val="clear" w:color="auto" w:fill="DCE6F1"/>
            <w:vAlign w:val="center"/>
          </w:tcPr>
          <w:p>
            <w:r>
              <w:rPr>
                <w:b/>
                <w:sz w:val="18"/>
              </w:rPr>
              <w:t>Position</w:t>
            </w:r>
          </w:p>
        </w:tc>
        <w:tc>
          <w:tcPr>
            <w:tcW w:type="dxa" w:w="6236"/>
            <w:vAlign w:val="center"/>
          </w:tcPr>
          <w:p>
            <w:r>
              <w:rPr>
                <w:sz w:val="18"/>
              </w:rPr>
              <w:t>Establishment Manager</w:t>
            </w:r>
          </w:p>
        </w:tc>
      </w:tr>
      <w:tr>
        <w:tc>
          <w:tcPr>
            <w:tcW w:type="dxa" w:w="3118"/>
            <w:shd w:val="clear" w:color="auto" w:fill="DCE6F1"/>
            <w:vAlign w:val="center"/>
          </w:tcPr>
          <w:p>
            <w:r>
              <w:rPr>
                <w:b/>
                <w:sz w:val="18"/>
              </w:rPr>
              <w:t>Date</w:t>
            </w:r>
          </w:p>
        </w:tc>
        <w:tc>
          <w:tcPr>
            <w:tcW w:type="dxa" w:w="6236"/>
            <w:vAlign w:val="center"/>
          </w:tcPr>
          <w:p>
            <w:r>
              <w:rPr>
                <w:sz w:val="18"/>
              </w:rPr>
              <w:t>25 March 2024</w:t>
            </w:r>
          </w:p>
        </w:tc>
      </w:tr>
      <w:tr>
        <w:tc>
          <w:tcPr>
            <w:tcW w:type="dxa" w:w="3118"/>
            <w:shd w:val="clear" w:color="auto" w:fill="DCE6F1"/>
            <w:vAlign w:val="center"/>
          </w:tcPr>
          <w:p>
            <w:r>
              <w:rPr>
                <w:b/>
                <w:sz w:val="18"/>
              </w:rPr>
              <w:t>Signature</w:t>
            </w:r>
          </w:p>
        </w:tc>
        <w:tc>
          <w:tcPr>
            <w:tcW w:type="dxa" w:w="6236"/>
            <w:vAlign w:val="center"/>
          </w:tcPr>
          <w:p>
            <w:r>
              <w:rPr>
                <w:sz w:val="18"/>
              </w:rPr>
            </w:r>
          </w:p>
        </w:tc>
      </w:tr>
      <w:tr>
        <w:tc>
          <w:tcPr>
            <w:tcW w:type="dxa" w:w="3118"/>
            <w:shd w:val="clear" w:color="auto" w:fill="DCE6F1"/>
            <w:vAlign w:val="center"/>
          </w:tcPr>
          <w:p>
            <w:r>
              <w:rPr>
                <w:b/>
                <w:sz w:val="18"/>
              </w:rPr>
              <w:t>Approved By</w:t>
            </w:r>
          </w:p>
        </w:tc>
        <w:tc>
          <w:tcPr>
            <w:tcW w:type="dxa" w:w="6236"/>
            <w:vAlign w:val="center"/>
          </w:tcPr>
          <w:p>
            <w:r>
              <w:rPr>
                <w:sz w:val="18"/>
              </w:rPr>
              <w:t>DAFF Authorised Officer</w:t>
            </w:r>
          </w:p>
        </w:tc>
      </w:tr>
      <w:tr>
        <w:tc>
          <w:tcPr>
            <w:tcW w:type="dxa" w:w="3118"/>
            <w:shd w:val="clear" w:color="auto" w:fill="DCE6F1"/>
            <w:vAlign w:val="center"/>
          </w:tcPr>
          <w:p>
            <w:r>
              <w:rPr>
                <w:b/>
                <w:sz w:val="18"/>
              </w:rPr>
              <w:t>Approval Date</w:t>
            </w:r>
          </w:p>
        </w:tc>
        <w:tc>
          <w:tcPr>
            <w:tcW w:type="dxa" w:w="6236"/>
            <w:vAlign w:val="center"/>
          </w:tcPr>
          <w:p>
            <w:r>
              <w:rPr>
                <w:sz w:val="18"/>
              </w:rPr>
            </w:r>
          </w:p>
        </w:tc>
      </w:tr>
    </w:tbl>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