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Esperance Grain Handlers</w:t>
            </w:r>
          </w:p>
        </w:tc>
      </w:tr>
      <w:tr>
        <w:tc>
          <w:tcPr>
            <w:tcW w:type="dxa" w:w="3118"/>
            <w:shd w:val="clear" w:color="auto" w:fill="DCE6F1"/>
            <w:vAlign w:val="center"/>
          </w:tcPr>
          <w:p>
            <w:r>
              <w:rPr>
                <w:b/>
                <w:sz w:val="18"/>
              </w:rPr>
              <w:t>RE Number</w:t>
            </w:r>
          </w:p>
        </w:tc>
        <w:tc>
          <w:tcPr>
            <w:tcW w:type="dxa" w:w="6236"/>
            <w:vAlign w:val="center"/>
          </w:tcPr>
          <w:p>
            <w:r>
              <w:rPr>
                <w:sz w:val="18"/>
              </w:rPr>
              <w:t>RE-WA-2022-0204</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Lot 7 Fisheries Road, Esperance WA 6450</w:t>
            </w:r>
          </w:p>
        </w:tc>
      </w:tr>
      <w:tr>
        <w:tc>
          <w:tcPr>
            <w:tcW w:type="dxa" w:w="3118"/>
            <w:shd w:val="clear" w:color="auto" w:fill="DCE6F1"/>
            <w:vAlign w:val="center"/>
          </w:tcPr>
          <w:p>
            <w:r>
              <w:rPr>
                <w:b/>
                <w:sz w:val="18"/>
              </w:rPr>
              <w:t>Registered Commodity</w:t>
            </w:r>
          </w:p>
        </w:tc>
        <w:tc>
          <w:tcPr>
            <w:tcW w:type="dxa" w:w="6236"/>
            <w:vAlign w:val="center"/>
          </w:tcPr>
          <w:p>
            <w:r>
              <w:rPr>
                <w:sz w:val="18"/>
              </w:rPr>
              <w:t>Apples</w:t>
            </w:r>
          </w:p>
        </w:tc>
      </w:tr>
      <w:tr>
        <w:tc>
          <w:tcPr>
            <w:tcW w:type="dxa" w:w="3118"/>
            <w:shd w:val="clear" w:color="auto" w:fill="DCE6F1"/>
            <w:vAlign w:val="center"/>
          </w:tcPr>
          <w:p>
            <w:r>
              <w:rPr>
                <w:b/>
                <w:sz w:val="18"/>
              </w:rPr>
              <w:t>Responsible Officer</w:t>
            </w:r>
          </w:p>
        </w:tc>
        <w:tc>
          <w:tcPr>
            <w:tcW w:type="dxa" w:w="6236"/>
            <w:vAlign w:val="center"/>
          </w:tcPr>
          <w:p>
            <w:r>
              <w:rPr>
                <w:sz w:val="18"/>
              </w:rPr>
              <w:t>Sandra Krause</w:t>
            </w:r>
          </w:p>
        </w:tc>
      </w:tr>
      <w:tr>
        <w:tc>
          <w:tcPr>
            <w:tcW w:type="dxa" w:w="3118"/>
            <w:shd w:val="clear" w:color="auto" w:fill="DCE6F1"/>
            <w:vAlign w:val="center"/>
          </w:tcPr>
          <w:p>
            <w:r>
              <w:rPr>
                <w:b/>
                <w:sz w:val="18"/>
              </w:rPr>
              <w:t>Property Area</w:t>
            </w:r>
          </w:p>
        </w:tc>
        <w:tc>
          <w:tcPr>
            <w:tcW w:type="dxa" w:w="6236"/>
            <w:vAlign w:val="center"/>
          </w:tcPr>
          <w:p>
            <w:r>
              <w:rPr>
                <w:sz w:val="18"/>
              </w:rPr>
              <w:t>180.0 ha</w:t>
            </w:r>
          </w:p>
        </w:tc>
      </w:tr>
      <w:tr>
        <w:tc>
          <w:tcPr>
            <w:tcW w:type="dxa" w:w="3118"/>
            <w:shd w:val="clear" w:color="auto" w:fill="DCE6F1"/>
            <w:vAlign w:val="center"/>
          </w:tcPr>
          <w:p>
            <w:r>
              <w:rPr>
                <w:b/>
                <w:sz w:val="18"/>
              </w:rPr>
              <w:t>Year Established</w:t>
            </w:r>
          </w:p>
        </w:tc>
        <w:tc>
          <w:tcPr>
            <w:tcW w:type="dxa" w:w="6236"/>
            <w:vAlign w:val="center"/>
          </w:tcPr>
          <w:p>
            <w:r>
              <w:rPr>
                <w:sz w:val="18"/>
              </w:rPr>
              <w:t>2018</w:t>
            </w:r>
          </w:p>
        </w:tc>
      </w:tr>
      <w:tr>
        <w:tc>
          <w:tcPr>
            <w:tcW w:type="dxa" w:w="3118"/>
            <w:shd w:val="clear" w:color="auto" w:fill="DCE6F1"/>
            <w:vAlign w:val="center"/>
          </w:tcPr>
          <w:p>
            <w:r>
              <w:rPr>
                <w:b/>
                <w:sz w:val="18"/>
              </w:rPr>
              <w:t>Document Version</w:t>
            </w:r>
          </w:p>
        </w:tc>
        <w:tc>
          <w:tcPr>
            <w:tcW w:type="dxa" w:w="6236"/>
            <w:vAlign w:val="center"/>
          </w:tcPr>
          <w:p>
            <w:r>
              <w:rPr>
                <w:sz w:val="18"/>
              </w:rPr>
              <w:t>2.1</w:t>
            </w:r>
          </w:p>
        </w:tc>
      </w:tr>
      <w:tr>
        <w:tc>
          <w:tcPr>
            <w:tcW w:type="dxa" w:w="3118"/>
            <w:shd w:val="clear" w:color="auto" w:fill="DCE6F1"/>
            <w:vAlign w:val="center"/>
          </w:tcPr>
          <w:p>
            <w:r>
              <w:rPr>
                <w:b/>
                <w:sz w:val="18"/>
              </w:rPr>
              <w:t>Plan Date</w:t>
            </w:r>
          </w:p>
        </w:tc>
        <w:tc>
          <w:tcPr>
            <w:tcW w:type="dxa" w:w="6236"/>
            <w:vAlign w:val="center"/>
          </w:tcPr>
          <w:p>
            <w:r>
              <w:rPr>
                <w:sz w:val="18"/>
              </w:rPr>
              <w:t>20 February 2024</w:t>
            </w:r>
          </w:p>
        </w:tc>
      </w:tr>
      <w:tr>
        <w:tc>
          <w:tcPr>
            <w:tcW w:type="dxa" w:w="3118"/>
            <w:shd w:val="clear" w:color="auto" w:fill="DCE6F1"/>
            <w:vAlign w:val="center"/>
          </w:tcPr>
          <w:p>
            <w:r>
              <w:rPr>
                <w:b/>
                <w:sz w:val="18"/>
              </w:rPr>
              <w:t>Next Review</w:t>
            </w:r>
          </w:p>
        </w:tc>
        <w:tc>
          <w:tcPr>
            <w:tcW w:type="dxa" w:w="6236"/>
            <w:vAlign w:val="center"/>
          </w:tcPr>
          <w:p>
            <w:r>
              <w:rPr>
                <w:sz w:val="18"/>
              </w:rPr>
              <w:t>20 February 2026</w:t>
            </w:r>
          </w:p>
        </w:tc>
      </w:tr>
    </w:tbl>
    <w:p/>
    <w:p>
      <w:pPr>
        <w:pStyle w:val="Heading1"/>
      </w:pPr>
      <w:r>
        <w:rPr>
          <w:color w:val="1F497D"/>
        </w:rPr>
        <w:t>1.  OVERVIEW</w:t>
      </w:r>
    </w:p>
    <w:p>
      <w:r>
        <w:rPr>
          <w:b w:val="0"/>
          <w:i w:val="0"/>
          <w:sz w:val="20"/>
        </w:rPr>
        <w:t>Esperance Grain Handlers is a registered export establishment located at Lot 7 Fisheries Road, Esperance WA 6450, WA. The establishment holds RE Number RE-WA-2022-0204 and is registered to handle and export Apples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Packing Hall</w:t>
            </w:r>
          </w:p>
        </w:tc>
        <w:tc>
          <w:tcPr>
            <w:tcW w:type="dxa" w:w="1587"/>
            <w:shd w:val="clear" w:color="auto" w:fill="FFFFFF"/>
            <w:vAlign w:val="center"/>
          </w:tcPr>
          <w:p>
            <w:r>
              <w:rPr>
                <w:sz w:val="18"/>
              </w:rPr>
              <w:t>35×22 m</w:t>
            </w:r>
          </w:p>
        </w:tc>
        <w:tc>
          <w:tcPr>
            <w:tcW w:type="dxa" w:w="1984"/>
            <w:shd w:val="clear" w:color="auto" w:fill="FFFFFF"/>
            <w:vAlign w:val="center"/>
          </w:tcPr>
          <w:p>
            <w:r>
              <w:rPr>
                <w:sz w:val="18"/>
              </w:rPr>
              <w:t>Tilt-up concrete,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CS1</w:t>
            </w:r>
          </w:p>
        </w:tc>
        <w:tc>
          <w:tcPr>
            <w:tcW w:type="dxa" w:w="3118"/>
            <w:shd w:val="clear" w:color="auto" w:fill="F2F2F2"/>
            <w:vAlign w:val="center"/>
          </w:tcPr>
          <w:p>
            <w:r>
              <w:rPr>
                <w:sz w:val="18"/>
              </w:rPr>
              <w:t>Cool Store 1</w:t>
            </w:r>
          </w:p>
        </w:tc>
        <w:tc>
          <w:tcPr>
            <w:tcW w:type="dxa" w:w="1587"/>
            <w:shd w:val="clear" w:color="auto" w:fill="F2F2F2"/>
            <w:vAlign w:val="center"/>
          </w:tcPr>
          <w:p>
            <w:r>
              <w:rPr>
                <w:sz w:val="18"/>
              </w:rPr>
              <w:t>18×14 m</w:t>
            </w:r>
          </w:p>
        </w:tc>
        <w:tc>
          <w:tcPr>
            <w:tcW w:type="dxa" w:w="1984"/>
            <w:shd w:val="clear" w:color="auto" w:fill="F2F2F2"/>
            <w:vAlign w:val="center"/>
          </w:tcPr>
          <w:p>
            <w:r>
              <w:rPr>
                <w:sz w:val="18"/>
              </w:rPr>
              <w:t>Insulated panel, R410A refrigeration</w:t>
            </w:r>
          </w:p>
        </w:tc>
        <w:tc>
          <w:tcPr>
            <w:tcW w:type="dxa" w:w="2381"/>
            <w:shd w:val="clear" w:color="auto" w:fill="F2F2F2"/>
            <w:vAlign w:val="center"/>
          </w:tcPr>
          <w:p>
            <w:r>
              <w:rPr>
                <w:sz w:val="18"/>
              </w:rPr>
              <w:t>East of PH</w:t>
            </w:r>
          </w:p>
        </w:tc>
      </w:tr>
      <w:tr>
        <w:tc>
          <w:tcPr>
            <w:tcW w:type="dxa" w:w="850"/>
            <w:shd w:val="clear" w:color="auto" w:fill="FFFFFF"/>
            <w:vAlign w:val="center"/>
          </w:tcPr>
          <w:p>
            <w:r>
              <w:rPr>
                <w:sz w:val="18"/>
              </w:rPr>
              <w:t>CS2</w:t>
            </w:r>
          </w:p>
        </w:tc>
        <w:tc>
          <w:tcPr>
            <w:tcW w:type="dxa" w:w="3118"/>
            <w:shd w:val="clear" w:color="auto" w:fill="FFFFFF"/>
            <w:vAlign w:val="center"/>
          </w:tcPr>
          <w:p>
            <w:r>
              <w:rPr>
                <w:sz w:val="18"/>
              </w:rPr>
              <w:t>Cool Store 2</w:t>
            </w:r>
          </w:p>
        </w:tc>
        <w:tc>
          <w:tcPr>
            <w:tcW w:type="dxa" w:w="1587"/>
            <w:shd w:val="clear" w:color="auto" w:fill="FFFFFF"/>
            <w:vAlign w:val="center"/>
          </w:tcPr>
          <w:p>
            <w:r>
              <w:rPr>
                <w:sz w:val="18"/>
              </w:rPr>
              <w:t>18×14 m</w:t>
            </w:r>
          </w:p>
        </w:tc>
        <w:tc>
          <w:tcPr>
            <w:tcW w:type="dxa" w:w="1984"/>
            <w:shd w:val="clear" w:color="auto" w:fill="FFFFFF"/>
            <w:vAlign w:val="center"/>
          </w:tcPr>
          <w:p>
            <w:r>
              <w:rPr>
                <w:sz w:val="18"/>
              </w:rPr>
              <w:t>Insulated panel, R410A refrigeration</w:t>
            </w:r>
          </w:p>
        </w:tc>
        <w:tc>
          <w:tcPr>
            <w:tcW w:type="dxa" w:w="2381"/>
            <w:shd w:val="clear" w:color="auto" w:fill="FFFFFF"/>
            <w:vAlign w:val="center"/>
          </w:tcPr>
          <w:p>
            <w:r>
              <w:rPr>
                <w:sz w:val="18"/>
              </w:rPr>
              <w:t>East of CS1</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 self-contained</w:t>
            </w:r>
          </w:p>
        </w:tc>
        <w:tc>
          <w:tcPr>
            <w:tcW w:type="dxa" w:w="2381"/>
            <w:shd w:val="clear" w:color="auto" w:fill="F2F2F2"/>
            <w:vAlign w:val="center"/>
          </w:tcPr>
          <w:p>
            <w:r>
              <w:rPr>
                <w:sz w:val="18"/>
              </w:rPr>
              <w:t>Adjacent to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5×4 m</w:t>
            </w:r>
          </w:p>
        </w:tc>
        <w:tc>
          <w:tcPr>
            <w:tcW w:type="dxa" w:w="1984"/>
            <w:shd w:val="clear" w:color="auto" w:fill="FFFFFF"/>
            <w:vAlign w:val="center"/>
          </w:tcPr>
          <w:p>
            <w:r>
              <w:rPr>
                <w:sz w:val="18"/>
              </w:rPr>
              <w:t>Steel, bunded slab</w:t>
            </w:r>
          </w:p>
        </w:tc>
        <w:tc>
          <w:tcPr>
            <w:tcW w:type="dxa" w:w="2381"/>
            <w:shd w:val="clear" w:color="auto" w:fill="FFFFFF"/>
            <w:vAlign w:val="center"/>
          </w:tcPr>
          <w:p>
            <w:r>
              <w:rPr>
                <w:sz w:val="18"/>
              </w:rPr>
              <w:t>SW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steel room in PH</w:t>
            </w:r>
          </w:p>
        </w:tc>
        <w:tc>
          <w:tcPr>
            <w:tcW w:type="dxa" w:w="2381"/>
            <w:shd w:val="clear" w:color="auto" w:fill="F2F2F2"/>
            <w:vAlign w:val="center"/>
          </w:tcPr>
          <w:p>
            <w:r>
              <w:rPr>
                <w:sz w:val="18"/>
              </w:rPr>
              <w:t>PH north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Fruit washing and brushing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Pre-grading hygiene</w:t>
            </w:r>
          </w:p>
        </w:tc>
      </w:tr>
      <w:tr>
        <w:tc>
          <w:tcPr>
            <w:tcW w:type="dxa" w:w="3685"/>
            <w:shd w:val="clear" w:color="auto" w:fill="F2F2F2"/>
            <w:vAlign w:val="center"/>
          </w:tcPr>
          <w:p>
            <w:r>
              <w:rPr>
                <w:sz w:val="18"/>
              </w:rPr>
              <w:t>Optical grader (weight/colour/defect)</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grade sorting</w:t>
            </w:r>
          </w:p>
        </w:tc>
      </w:tr>
      <w:tr>
        <w:tc>
          <w:tcPr>
            <w:tcW w:type="dxa" w:w="3685"/>
            <w:shd w:val="clear" w:color="auto" w:fill="FFFFFF"/>
            <w:vAlign w:val="center"/>
          </w:tcPr>
          <w:p>
            <w:r>
              <w:rPr>
                <w:sz w:val="18"/>
              </w:rPr>
              <w:t>Sticker/label applicator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Retail and export labelling</w:t>
            </w:r>
          </w:p>
        </w:tc>
      </w:tr>
      <w:tr>
        <w:tc>
          <w:tcPr>
            <w:tcW w:type="dxa" w:w="3685"/>
            <w:shd w:val="clear" w:color="auto" w:fill="F2F2F2"/>
            <w:vAlign w:val="center"/>
          </w:tcPr>
          <w:p>
            <w:r>
              <w:rPr>
                <w:sz w:val="18"/>
              </w:rPr>
              <w:t>Palletiser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 build</w:t>
            </w:r>
          </w:p>
        </w:tc>
      </w:tr>
      <w:tr>
        <w:tc>
          <w:tcPr>
            <w:tcW w:type="dxa" w:w="3685"/>
            <w:shd w:val="clear" w:color="auto" w:fill="FFFFFF"/>
            <w:vAlign w:val="center"/>
          </w:tcPr>
          <w:p>
            <w:r>
              <w:rPr>
                <w:sz w:val="18"/>
              </w:rPr>
              <w:t>Metal detector</w:t>
            </w:r>
          </w:p>
        </w:tc>
        <w:tc>
          <w:tcPr>
            <w:tcW w:type="dxa" w:w="1984"/>
            <w:shd w:val="clear" w:color="auto" w:fill="FFFFFF"/>
            <w:vAlign w:val="center"/>
          </w:tcPr>
          <w:p>
            <w:r>
              <w:rPr>
                <w:sz w:val="18"/>
              </w:rPr>
              <w:t>CCP inline</w:t>
            </w:r>
          </w:p>
        </w:tc>
        <w:tc>
          <w:tcPr>
            <w:tcW w:type="dxa" w:w="4252"/>
            <w:shd w:val="clear" w:color="auto" w:fill="FFFFFF"/>
            <w:vAlign w:val="center"/>
          </w:tcPr>
          <w:p>
            <w:r>
              <w:rPr>
                <w:sz w:val="18"/>
              </w:rPr>
              <w:t>Food safety — export compliance</w:t>
            </w:r>
          </w:p>
        </w:tc>
      </w:tr>
      <w:tr>
        <w:tc>
          <w:tcPr>
            <w:tcW w:type="dxa" w:w="3685"/>
            <w:shd w:val="clear" w:color="auto" w:fill="F2F2F2"/>
            <w:vAlign w:val="center"/>
          </w:tcPr>
          <w:p>
            <w:r>
              <w:rPr>
                <w:sz w:val="18"/>
              </w:rPr>
              <w:t>Weigh-price labeller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Consumer pack verification</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Apples.</w:t>
      </w:r>
    </w:p>
    <w:p>
      <w:pPr>
        <w:pStyle w:val="Heading2"/>
      </w:pPr>
      <w:r>
        <w:t>4.2  Lighting (C2)</w:t>
      </w:r>
    </w:p>
    <w:p>
      <w:r>
        <w:rPr>
          <w:b w:val="0"/>
          <w:i w:val="0"/>
          <w:sz w:val="20"/>
        </w:rPr>
        <w:t>LED panel lighting installed 2018: 500 lux (processing), 400 lux (storage), 380 lux (load-out). IP65-rated food-grade fittings. Annual lux-level verification by licensed electrician.</w:t>
      </w:r>
    </w:p>
    <w:p>
      <w:pPr>
        <w:pStyle w:val="Heading2"/>
      </w:pPr>
      <w:r>
        <w:t>4.3  Handwashing and Toilet Facilities (C3)</w:t>
      </w:r>
    </w:p>
    <w:p>
      <w:r>
        <w:rPr>
          <w:b w:val="0"/>
          <w:i w:val="0"/>
          <w:sz w:val="20"/>
        </w:rPr>
        <w:t>Amenities block within 20 m of processing floor: 1 toilet, 1 hand basin hot/cold water, liquid soap, paper towels. Separate no-touch basin and hand sanitiser dispenser installed at cool store/packing area access point, as required by site hygiene protocol.</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All product-contact and grain-contact surfaces are smooth, non-porous and cleanable: 3-coat epoxy floor system; FRP (fibreglass-reinforced panel) wall linings to 2.7 m; stainless-steel equipment internals. Conveyor and auger housings have hinged access panels. Full washdown of product-contact surfaces required between commodity lots per cleaning SOP.</w:t>
      </w:r>
    </w:p>
    <w:p>
      <w:pPr>
        <w:pStyle w:val="Heading2"/>
      </w:pPr>
      <w:r>
        <w:t>5.2  Contamination and Pest Harbourage Minimisation (C5)</w:t>
      </w:r>
    </w:p>
    <w:p>
      <w:r>
        <w:rPr>
          <w:b w:val="0"/>
          <w:i w:val="0"/>
          <w:sz w:val="20"/>
        </w:rPr>
        <w:t>Design features minimising pest entry: smooth wall surfaces; all roof-wall junctions factory-sealed; cable/pipe penetrations sealed with food-grade silicone; 6 mm mesh on all fixed ventilation louvres; self-closing personnel doors with magnetic seals; roller doors serviced annually to maintain threshold seal integrity; no open drainage channels.</w:t>
      </w:r>
    </w:p>
    <w:p>
      <w:pPr>
        <w:pStyle w:val="Heading2"/>
      </w:pPr>
      <w:r>
        <w:t>5.3  Waste Disposal Design (C6)</w:t>
      </w:r>
    </w:p>
    <w:p>
      <w:r>
        <w:rPr>
          <w:b w:val="0"/>
          <w:i w:val="0"/>
          <w:sz w:val="20"/>
        </w:rPr>
        <w:t>Contained waste management infrastructure: liquid drains to bunded sump (2000 L) outside the processing building; solid waste in sealed wheeled bins with lids; external waste bay roofed and bunded on three sides with 300 mm concrete kerb and sealed slab. Organic waste composted in covered bay 30 m from processing. No open waste storage areas.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Establishment Waste Management Plan (EWMP v3.0, reviewed January 2025): details procedures for all waste streams — product spillage, packaging, liquid washdown, chemical containers and dust. Scheduled tasks on daily operations checklist, signed off by shift supervisor. Records retained 3 years minimum.</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Fruit culls and trim waste</w:t>
            </w:r>
          </w:p>
        </w:tc>
        <w:tc>
          <w:tcPr>
            <w:tcW w:type="dxa" w:w="4252"/>
            <w:shd w:val="clear" w:color="auto" w:fill="FFFFFF"/>
            <w:vAlign w:val="center"/>
          </w:tcPr>
          <w:p>
            <w:r>
              <w:rPr>
                <w:sz w:val="18"/>
              </w:rPr>
              <w:t>Bins at grading line, hourly removal to compost bay</w:t>
            </w:r>
          </w:p>
        </w:tc>
        <w:tc>
          <w:tcPr>
            <w:tcW w:type="dxa" w:w="2835"/>
            <w:shd w:val="clear" w:color="auto" w:fill="FFFFFF"/>
            <w:vAlign w:val="center"/>
          </w:tcPr>
          <w:p>
            <w:r>
              <w:rPr>
                <w:sz w:val="18"/>
              </w:rPr>
              <w:t>Daily</w:t>
            </w:r>
          </w:p>
        </w:tc>
      </w:tr>
      <w:tr>
        <w:tc>
          <w:tcPr>
            <w:tcW w:type="dxa" w:w="2835"/>
            <w:shd w:val="clear" w:color="auto" w:fill="F2F2F2"/>
            <w:vAlign w:val="center"/>
          </w:tcPr>
          <w:p>
            <w:r>
              <w:rPr>
                <w:sz w:val="18"/>
              </w:rPr>
              <w:t>Washdown water</w:t>
            </w:r>
          </w:p>
        </w:tc>
        <w:tc>
          <w:tcPr>
            <w:tcW w:type="dxa" w:w="4252"/>
            <w:shd w:val="clear" w:color="auto" w:fill="F2F2F2"/>
            <w:vAlign w:val="center"/>
          </w:tcPr>
          <w:p>
            <w:r>
              <w:rPr>
                <w:sz w:val="18"/>
              </w:rPr>
              <w:t>Recessed drains → grease trap → trade waste</w:t>
            </w:r>
          </w:p>
        </w:tc>
        <w:tc>
          <w:tcPr>
            <w:tcW w:type="dxa" w:w="2835"/>
            <w:shd w:val="clear" w:color="auto" w:fill="F2F2F2"/>
            <w:vAlign w:val="center"/>
          </w:tcPr>
          <w:p>
            <w:r>
              <w:rPr>
                <w:sz w:val="18"/>
              </w:rPr>
              <w:t>Weekly grease trap inspection</w:t>
            </w:r>
          </w:p>
        </w:tc>
      </w:tr>
      <w:tr>
        <w:tc>
          <w:tcPr>
            <w:tcW w:type="dxa" w:w="2835"/>
            <w:shd w:val="clear" w:color="auto" w:fill="FFFFFF"/>
            <w:vAlign w:val="center"/>
          </w:tcPr>
          <w:p>
            <w:r>
              <w:rPr>
                <w:sz w:val="18"/>
              </w:rPr>
              <w:t>Packaging waste (film, cardboard, foam)</w:t>
            </w:r>
          </w:p>
        </w:tc>
        <w:tc>
          <w:tcPr>
            <w:tcW w:type="dxa" w:w="4252"/>
            <w:shd w:val="clear" w:color="auto" w:fill="FFFFFF"/>
            <w:vAlign w:val="center"/>
          </w:tcPr>
          <w:p>
            <w:r>
              <w:rPr>
                <w:sz w:val="18"/>
              </w:rPr>
              <w:t>Baler in external waste bay</w:t>
            </w:r>
          </w:p>
        </w:tc>
        <w:tc>
          <w:tcPr>
            <w:tcW w:type="dxa" w:w="2835"/>
            <w:shd w:val="clear" w:color="auto" w:fill="FFFFFF"/>
            <w:vAlign w:val="center"/>
          </w:tcPr>
          <w:p>
            <w:r>
              <w:rPr>
                <w:sz w:val="18"/>
              </w:rPr>
              <w:t>Fortnightly collection</w:t>
            </w:r>
          </w:p>
        </w:tc>
      </w:tr>
      <w:tr>
        <w:tc>
          <w:tcPr>
            <w:tcW w:type="dxa" w:w="2835"/>
            <w:shd w:val="clear" w:color="auto" w:fill="F2F2F2"/>
            <w:vAlign w:val="center"/>
          </w:tcPr>
          <w:p>
            <w:r>
              <w:rPr>
                <w:sz w:val="18"/>
              </w:rPr>
              <w:t>Chemical containers</w:t>
            </w:r>
          </w:p>
        </w:tc>
        <w:tc>
          <w:tcPr>
            <w:tcW w:type="dxa" w:w="4252"/>
            <w:shd w:val="clear" w:color="auto" w:fill="F2F2F2"/>
            <w:vAlign w:val="center"/>
          </w:tcPr>
          <w:p>
            <w:r>
              <w:rPr>
                <w:sz w:val="18"/>
              </w:rPr>
              <w:t>Sealed store, labelled</w:t>
            </w:r>
          </w:p>
        </w:tc>
        <w:tc>
          <w:tcPr>
            <w:tcW w:type="dxa" w:w="2835"/>
            <w:shd w:val="clear" w:color="auto" w:fill="F2F2F2"/>
            <w:vAlign w:val="center"/>
          </w:tcPr>
          <w:p>
            <w:r>
              <w:rPr>
                <w:sz w:val="18"/>
              </w:rPr>
              <w:t>Quarterly licensed disposal</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The establishment is maintained in a clean and hygienic condition appropriate for export of Apples. All product-contact surfaces are cleaned between commodity lots using the documented cleaning procedure. Non-product-contact surfaces cleaned on a 8-weekly schedule. No hygiene deficiencies at most recent inspection.</w:t>
      </w:r>
    </w:p>
    <w:p>
      <w:pPr>
        <w:pStyle w:val="Heading2"/>
      </w:pPr>
      <w:r>
        <w:t>7.2  Pest Condition (C9)</w:t>
      </w:r>
    </w:p>
    <w:p>
      <w:r>
        <w:rPr>
          <w:b w:val="0"/>
          <w:i w:val="0"/>
          <w:sz w:val="20"/>
        </w:rPr>
        <w:t>Pest condition assessment: Rodents: nil evidence in 3 months of monitoring. Grain insects: probe samples from all storage negative for live insects. Birds: no evidence of access to grain-contact areas. Last licensed fumigation: October 2024.</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TasNetworks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Sandra Krause</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20 February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