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FARM MANAGEMENT PLAN</w:t>
      </w:r>
    </w:p>
    <w:p/>
    <w:p>
      <w:pPr>
        <w:jc w:val="center"/>
      </w:pPr>
      <w:r>
        <w:rPr>
          <w:i/>
          <w:sz w:val="20"/>
        </w:rPr>
        <w:t>Registered Establishment — Export Control (Plants and Plant Products) Rules 2021</w:t>
      </w:r>
    </w:p>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Establishment Name</w:t>
            </w:r>
          </w:p>
        </w:tc>
        <w:tc>
          <w:tcPr>
            <w:tcW w:type="dxa" w:w="6236"/>
            <w:vAlign w:val="center"/>
          </w:tcPr>
          <w:p>
            <w:r>
              <w:rPr>
                <w:sz w:val="18"/>
              </w:rPr>
              <w:t>Bunbury Port Grain</w:t>
            </w:r>
          </w:p>
        </w:tc>
      </w:tr>
      <w:tr>
        <w:tc>
          <w:tcPr>
            <w:tcW w:type="dxa" w:w="3118"/>
            <w:shd w:val="clear" w:color="auto" w:fill="DCE6F1"/>
            <w:vAlign w:val="center"/>
          </w:tcPr>
          <w:p>
            <w:r>
              <w:rPr>
                <w:b/>
                <w:sz w:val="18"/>
              </w:rPr>
              <w:t>RE Number</w:t>
            </w:r>
          </w:p>
        </w:tc>
        <w:tc>
          <w:tcPr>
            <w:tcW w:type="dxa" w:w="6236"/>
            <w:vAlign w:val="center"/>
          </w:tcPr>
          <w:p>
            <w:r>
              <w:rPr>
                <w:sz w:val="18"/>
              </w:rPr>
              <w:t>RE-WA-2022-0211</w:t>
            </w:r>
          </w:p>
        </w:tc>
      </w:tr>
      <w:tr>
        <w:tc>
          <w:tcPr>
            <w:tcW w:type="dxa" w:w="3118"/>
            <w:shd w:val="clear" w:color="auto" w:fill="DCE6F1"/>
            <w:vAlign w:val="center"/>
          </w:tcPr>
          <w:p>
            <w:r>
              <w:rPr>
                <w:b/>
                <w:sz w:val="18"/>
              </w:rPr>
              <w:t>State / Territory</w:t>
            </w:r>
          </w:p>
        </w:tc>
        <w:tc>
          <w:tcPr>
            <w:tcW w:type="dxa" w:w="6236"/>
            <w:vAlign w:val="center"/>
          </w:tcPr>
          <w:p>
            <w:r>
              <w:rPr>
                <w:sz w:val="18"/>
              </w:rPr>
              <w:t>WA</w:t>
            </w:r>
          </w:p>
        </w:tc>
      </w:tr>
      <w:tr>
        <w:tc>
          <w:tcPr>
            <w:tcW w:type="dxa" w:w="3118"/>
            <w:shd w:val="clear" w:color="auto" w:fill="DCE6F1"/>
            <w:vAlign w:val="center"/>
          </w:tcPr>
          <w:p>
            <w:r>
              <w:rPr>
                <w:b/>
                <w:sz w:val="18"/>
              </w:rPr>
              <w:t>Property Address</w:t>
            </w:r>
          </w:p>
        </w:tc>
        <w:tc>
          <w:tcPr>
            <w:tcW w:type="dxa" w:w="6236"/>
            <w:vAlign w:val="center"/>
          </w:tcPr>
          <w:p>
            <w:r>
              <w:rPr>
                <w:sz w:val="18"/>
              </w:rPr>
              <w:t>Lot 9 South Western Highway, Harvey WA 6220</w:t>
            </w:r>
          </w:p>
        </w:tc>
      </w:tr>
      <w:tr>
        <w:tc>
          <w:tcPr>
            <w:tcW w:type="dxa" w:w="3118"/>
            <w:shd w:val="clear" w:color="auto" w:fill="DCE6F1"/>
            <w:vAlign w:val="center"/>
          </w:tcPr>
          <w:p>
            <w:r>
              <w:rPr>
                <w:b/>
                <w:sz w:val="18"/>
              </w:rPr>
              <w:t>Registered Commodity</w:t>
            </w:r>
          </w:p>
        </w:tc>
        <w:tc>
          <w:tcPr>
            <w:tcW w:type="dxa" w:w="6236"/>
            <w:vAlign w:val="center"/>
          </w:tcPr>
          <w:p>
            <w:r>
              <w:rPr>
                <w:sz w:val="18"/>
              </w:rPr>
              <w:t>Citrus</w:t>
            </w:r>
          </w:p>
        </w:tc>
      </w:tr>
      <w:tr>
        <w:tc>
          <w:tcPr>
            <w:tcW w:type="dxa" w:w="3118"/>
            <w:shd w:val="clear" w:color="auto" w:fill="DCE6F1"/>
            <w:vAlign w:val="center"/>
          </w:tcPr>
          <w:p>
            <w:r>
              <w:rPr>
                <w:b/>
                <w:sz w:val="18"/>
              </w:rPr>
              <w:t>Responsible Officer</w:t>
            </w:r>
          </w:p>
        </w:tc>
        <w:tc>
          <w:tcPr>
            <w:tcW w:type="dxa" w:w="6236"/>
            <w:vAlign w:val="center"/>
          </w:tcPr>
          <w:p>
            <w:r>
              <w:rPr>
                <w:sz w:val="18"/>
              </w:rPr>
              <w:t>Maria Nguyen</w:t>
            </w:r>
          </w:p>
        </w:tc>
      </w:tr>
      <w:tr>
        <w:tc>
          <w:tcPr>
            <w:tcW w:type="dxa" w:w="3118"/>
            <w:shd w:val="clear" w:color="auto" w:fill="DCE6F1"/>
            <w:vAlign w:val="center"/>
          </w:tcPr>
          <w:p>
            <w:r>
              <w:rPr>
                <w:b/>
                <w:sz w:val="18"/>
              </w:rPr>
              <w:t>Property Area</w:t>
            </w:r>
          </w:p>
        </w:tc>
        <w:tc>
          <w:tcPr>
            <w:tcW w:type="dxa" w:w="6236"/>
            <w:vAlign w:val="center"/>
          </w:tcPr>
          <w:p>
            <w:r>
              <w:rPr>
                <w:sz w:val="18"/>
              </w:rPr>
              <w:t>960.0 ha</w:t>
            </w:r>
          </w:p>
        </w:tc>
      </w:tr>
      <w:tr>
        <w:tc>
          <w:tcPr>
            <w:tcW w:type="dxa" w:w="3118"/>
            <w:shd w:val="clear" w:color="auto" w:fill="DCE6F1"/>
            <w:vAlign w:val="center"/>
          </w:tcPr>
          <w:p>
            <w:r>
              <w:rPr>
                <w:b/>
                <w:sz w:val="18"/>
              </w:rPr>
              <w:t>Year Established</w:t>
            </w:r>
          </w:p>
        </w:tc>
        <w:tc>
          <w:tcPr>
            <w:tcW w:type="dxa" w:w="6236"/>
            <w:vAlign w:val="center"/>
          </w:tcPr>
          <w:p>
            <w:r>
              <w:rPr>
                <w:sz w:val="18"/>
              </w:rPr>
              <w:t>2013</w:t>
            </w:r>
          </w:p>
        </w:tc>
      </w:tr>
      <w:tr>
        <w:tc>
          <w:tcPr>
            <w:tcW w:type="dxa" w:w="3118"/>
            <w:shd w:val="clear" w:color="auto" w:fill="DCE6F1"/>
            <w:vAlign w:val="center"/>
          </w:tcPr>
          <w:p>
            <w:r>
              <w:rPr>
                <w:b/>
                <w:sz w:val="18"/>
              </w:rPr>
              <w:t>Document Version</w:t>
            </w:r>
          </w:p>
        </w:tc>
        <w:tc>
          <w:tcPr>
            <w:tcW w:type="dxa" w:w="6236"/>
            <w:vAlign w:val="center"/>
          </w:tcPr>
          <w:p>
            <w:r>
              <w:rPr>
                <w:sz w:val="18"/>
              </w:rPr>
              <w:t>2.1</w:t>
            </w:r>
          </w:p>
        </w:tc>
      </w:tr>
      <w:tr>
        <w:tc>
          <w:tcPr>
            <w:tcW w:type="dxa" w:w="3118"/>
            <w:shd w:val="clear" w:color="auto" w:fill="DCE6F1"/>
            <w:vAlign w:val="center"/>
          </w:tcPr>
          <w:p>
            <w:r>
              <w:rPr>
                <w:b/>
                <w:sz w:val="18"/>
              </w:rPr>
              <w:t>Plan Date</w:t>
            </w:r>
          </w:p>
        </w:tc>
        <w:tc>
          <w:tcPr>
            <w:tcW w:type="dxa" w:w="6236"/>
            <w:vAlign w:val="center"/>
          </w:tcPr>
          <w:p>
            <w:r>
              <w:rPr>
                <w:sz w:val="18"/>
              </w:rPr>
              <w:t>22 February 2024</w:t>
            </w:r>
          </w:p>
        </w:tc>
      </w:tr>
      <w:tr>
        <w:tc>
          <w:tcPr>
            <w:tcW w:type="dxa" w:w="3118"/>
            <w:shd w:val="clear" w:color="auto" w:fill="DCE6F1"/>
            <w:vAlign w:val="center"/>
          </w:tcPr>
          <w:p>
            <w:r>
              <w:rPr>
                <w:b/>
                <w:sz w:val="18"/>
              </w:rPr>
              <w:t>Next Review</w:t>
            </w:r>
          </w:p>
        </w:tc>
        <w:tc>
          <w:tcPr>
            <w:tcW w:type="dxa" w:w="6236"/>
            <w:vAlign w:val="center"/>
          </w:tcPr>
          <w:p>
            <w:r>
              <w:rPr>
                <w:sz w:val="18"/>
              </w:rPr>
              <w:t>22 February 2026</w:t>
            </w:r>
          </w:p>
        </w:tc>
      </w:tr>
    </w:tbl>
    <w:p/>
    <w:p>
      <w:pPr>
        <w:pStyle w:val="Heading1"/>
      </w:pPr>
      <w:r>
        <w:rPr>
          <w:color w:val="1F497D"/>
        </w:rPr>
        <w:t>1.  OVERVIEW</w:t>
      </w:r>
    </w:p>
    <w:p>
      <w:r>
        <w:rPr>
          <w:b w:val="0"/>
          <w:i w:val="0"/>
          <w:sz w:val="20"/>
        </w:rPr>
        <w:t>Bunbury Port Grain is a registered export establishment located at Lot 9 South Western Highway, Harvey WA 6220, WA. The establishment holds RE Number RE-WA-2022-0211 and is registered to handle and export Citrus under the Export Control (Plants and Plant Products) Rules 2021. This Farm Management Plan documents the physical infrastructure, equipment, facilities, design standards, waste management arrangements and establishment condition relevant to compliance with Chapter 4 of the Rules and the DAFF Performance Standards IMLS-12-3742.</w:t>
      </w:r>
    </w:p>
    <w:p/>
    <w:p>
      <w:pPr>
        <w:pStyle w:val="Heading1"/>
      </w:pPr>
      <w:r>
        <w:rPr>
          <w:color w:val="1F497D"/>
        </w:rPr>
        <w:t>2.  BUILDINGS AND INFRASTRUCTURE</w:t>
      </w:r>
    </w:p>
    <w:p>
      <w:r>
        <w:rPr>
          <w:i/>
          <w:color w:val="555555"/>
          <w:sz w:val="18"/>
        </w:rPr>
        <w:t>Rules s4-2 — buildings, equipment, facilities and services required for export operations</w:t>
      </w:r>
    </w:p>
    <w:tbl>
      <w:tblPr>
        <w:tblStyle w:val="TableGrid"/>
        <w:tblW w:type="auto" w:w="0"/>
        <w:jc w:val="left"/>
        <w:tblLook w:firstColumn="1" w:firstRow="1" w:lastColumn="0" w:lastRow="0" w:noHBand="0" w:noVBand="1" w:val="04A0"/>
      </w:tblPr>
      <w:tblGrid>
        <w:gridCol w:w="1814"/>
        <w:gridCol w:w="1814"/>
        <w:gridCol w:w="1814"/>
        <w:gridCol w:w="1814"/>
        <w:gridCol w:w="1814"/>
      </w:tblGrid>
      <w:tr>
        <w:tc>
          <w:tcPr>
            <w:tcW w:type="dxa" w:w="850"/>
            <w:shd w:val="clear" w:color="auto" w:fill="1F497D"/>
            <w:vAlign w:val="center"/>
          </w:tcPr>
          <w:p>
            <w:r>
              <w:rPr>
                <w:b/>
                <w:color w:val="FFFFFF"/>
                <w:sz w:val="18"/>
              </w:rPr>
              <w:t>Code</w:t>
            </w:r>
          </w:p>
        </w:tc>
        <w:tc>
          <w:tcPr>
            <w:tcW w:type="dxa" w:w="3118"/>
            <w:shd w:val="clear" w:color="auto" w:fill="1F497D"/>
            <w:vAlign w:val="center"/>
          </w:tcPr>
          <w:p>
            <w:r>
              <w:rPr>
                <w:b/>
                <w:color w:val="FFFFFF"/>
                <w:sz w:val="18"/>
              </w:rPr>
              <w:t>Building / Structure</w:t>
            </w:r>
          </w:p>
        </w:tc>
        <w:tc>
          <w:tcPr>
            <w:tcW w:type="dxa" w:w="1587"/>
            <w:shd w:val="clear" w:color="auto" w:fill="1F497D"/>
            <w:vAlign w:val="center"/>
          </w:tcPr>
          <w:p>
            <w:r>
              <w:rPr>
                <w:b/>
                <w:color w:val="FFFFFF"/>
                <w:sz w:val="18"/>
              </w:rPr>
              <w:t>Dimensions</w:t>
            </w:r>
          </w:p>
        </w:tc>
        <w:tc>
          <w:tcPr>
            <w:tcW w:type="dxa" w:w="1984"/>
            <w:shd w:val="clear" w:color="auto" w:fill="1F497D"/>
            <w:vAlign w:val="center"/>
          </w:tcPr>
          <w:p>
            <w:r>
              <w:rPr>
                <w:b/>
                <w:color w:val="FFFFFF"/>
                <w:sz w:val="18"/>
              </w:rPr>
              <w:t>Construction</w:t>
            </w:r>
          </w:p>
        </w:tc>
        <w:tc>
          <w:tcPr>
            <w:tcW w:type="dxa" w:w="2381"/>
            <w:shd w:val="clear" w:color="auto" w:fill="1F497D"/>
            <w:vAlign w:val="center"/>
          </w:tcPr>
          <w:p>
            <w:r>
              <w:rPr>
                <w:b/>
                <w:color w:val="FFFFFF"/>
                <w:sz w:val="18"/>
              </w:rPr>
              <w:t>Location</w:t>
            </w:r>
          </w:p>
        </w:tc>
      </w:tr>
      <w:tr>
        <w:tc>
          <w:tcPr>
            <w:tcW w:type="dxa" w:w="850"/>
            <w:shd w:val="clear" w:color="auto" w:fill="FFFFFF"/>
            <w:vAlign w:val="center"/>
          </w:tcPr>
          <w:p>
            <w:r>
              <w:rPr>
                <w:sz w:val="18"/>
              </w:rPr>
              <w:t>PH</w:t>
            </w:r>
          </w:p>
        </w:tc>
        <w:tc>
          <w:tcPr>
            <w:tcW w:type="dxa" w:w="3118"/>
            <w:shd w:val="clear" w:color="auto" w:fill="FFFFFF"/>
            <w:vAlign w:val="center"/>
          </w:tcPr>
          <w:p>
            <w:r>
              <w:rPr>
                <w:sz w:val="18"/>
              </w:rPr>
              <w:t>Packing Hall</w:t>
            </w:r>
          </w:p>
        </w:tc>
        <w:tc>
          <w:tcPr>
            <w:tcW w:type="dxa" w:w="1587"/>
            <w:shd w:val="clear" w:color="auto" w:fill="FFFFFF"/>
            <w:vAlign w:val="center"/>
          </w:tcPr>
          <w:p>
            <w:r>
              <w:rPr>
                <w:sz w:val="18"/>
              </w:rPr>
              <w:t>50×22 m</w:t>
            </w:r>
          </w:p>
        </w:tc>
        <w:tc>
          <w:tcPr>
            <w:tcW w:type="dxa" w:w="1984"/>
            <w:shd w:val="clear" w:color="auto" w:fill="FFFFFF"/>
            <w:vAlign w:val="center"/>
          </w:tcPr>
          <w:p>
            <w:r>
              <w:rPr>
                <w:sz w:val="18"/>
              </w:rPr>
              <w:t>Tilt-up concrete, epoxy floor</w:t>
            </w:r>
          </w:p>
        </w:tc>
        <w:tc>
          <w:tcPr>
            <w:tcW w:type="dxa" w:w="2381"/>
            <w:shd w:val="clear" w:color="auto" w:fill="FFFFFF"/>
            <w:vAlign w:val="center"/>
          </w:tcPr>
          <w:p>
            <w:r>
              <w:rPr>
                <w:sz w:val="18"/>
              </w:rPr>
              <w:t>Centre of site</w:t>
            </w:r>
          </w:p>
        </w:tc>
      </w:tr>
      <w:tr>
        <w:tc>
          <w:tcPr>
            <w:tcW w:type="dxa" w:w="850"/>
            <w:shd w:val="clear" w:color="auto" w:fill="F2F2F2"/>
            <w:vAlign w:val="center"/>
          </w:tcPr>
          <w:p>
            <w:r>
              <w:rPr>
                <w:sz w:val="18"/>
              </w:rPr>
              <w:t>CS1</w:t>
            </w:r>
          </w:p>
        </w:tc>
        <w:tc>
          <w:tcPr>
            <w:tcW w:type="dxa" w:w="3118"/>
            <w:shd w:val="clear" w:color="auto" w:fill="F2F2F2"/>
            <w:vAlign w:val="center"/>
          </w:tcPr>
          <w:p>
            <w:r>
              <w:rPr>
                <w:sz w:val="18"/>
              </w:rPr>
              <w:t>Cool Store 1</w:t>
            </w:r>
          </w:p>
        </w:tc>
        <w:tc>
          <w:tcPr>
            <w:tcW w:type="dxa" w:w="1587"/>
            <w:shd w:val="clear" w:color="auto" w:fill="F2F2F2"/>
            <w:vAlign w:val="center"/>
          </w:tcPr>
          <w:p>
            <w:r>
              <w:rPr>
                <w:sz w:val="18"/>
              </w:rPr>
              <w:t>22×14 m</w:t>
            </w:r>
          </w:p>
        </w:tc>
        <w:tc>
          <w:tcPr>
            <w:tcW w:type="dxa" w:w="1984"/>
            <w:shd w:val="clear" w:color="auto" w:fill="F2F2F2"/>
            <w:vAlign w:val="center"/>
          </w:tcPr>
          <w:p>
            <w:r>
              <w:rPr>
                <w:sz w:val="18"/>
              </w:rPr>
              <w:t>Insulated panel, R410A refrigeration</w:t>
            </w:r>
          </w:p>
        </w:tc>
        <w:tc>
          <w:tcPr>
            <w:tcW w:type="dxa" w:w="2381"/>
            <w:shd w:val="clear" w:color="auto" w:fill="F2F2F2"/>
            <w:vAlign w:val="center"/>
          </w:tcPr>
          <w:p>
            <w:r>
              <w:rPr>
                <w:sz w:val="18"/>
              </w:rPr>
              <w:t>East of PH</w:t>
            </w:r>
          </w:p>
        </w:tc>
      </w:tr>
      <w:tr>
        <w:tc>
          <w:tcPr>
            <w:tcW w:type="dxa" w:w="850"/>
            <w:shd w:val="clear" w:color="auto" w:fill="FFFFFF"/>
            <w:vAlign w:val="center"/>
          </w:tcPr>
          <w:p>
            <w:r>
              <w:rPr>
                <w:sz w:val="18"/>
              </w:rPr>
              <w:t>CS2</w:t>
            </w:r>
          </w:p>
        </w:tc>
        <w:tc>
          <w:tcPr>
            <w:tcW w:type="dxa" w:w="3118"/>
            <w:shd w:val="clear" w:color="auto" w:fill="FFFFFF"/>
            <w:vAlign w:val="center"/>
          </w:tcPr>
          <w:p>
            <w:r>
              <w:rPr>
                <w:sz w:val="18"/>
              </w:rPr>
              <w:t>Cool Store 2</w:t>
            </w:r>
          </w:p>
        </w:tc>
        <w:tc>
          <w:tcPr>
            <w:tcW w:type="dxa" w:w="1587"/>
            <w:shd w:val="clear" w:color="auto" w:fill="FFFFFF"/>
            <w:vAlign w:val="center"/>
          </w:tcPr>
          <w:p>
            <w:r>
              <w:rPr>
                <w:sz w:val="18"/>
              </w:rPr>
              <w:t>22×14 m</w:t>
            </w:r>
          </w:p>
        </w:tc>
        <w:tc>
          <w:tcPr>
            <w:tcW w:type="dxa" w:w="1984"/>
            <w:shd w:val="clear" w:color="auto" w:fill="FFFFFF"/>
            <w:vAlign w:val="center"/>
          </w:tcPr>
          <w:p>
            <w:r>
              <w:rPr>
                <w:sz w:val="18"/>
              </w:rPr>
              <w:t>Insulated panel, R410A refrigeration</w:t>
            </w:r>
          </w:p>
        </w:tc>
        <w:tc>
          <w:tcPr>
            <w:tcW w:type="dxa" w:w="2381"/>
            <w:shd w:val="clear" w:color="auto" w:fill="FFFFFF"/>
            <w:vAlign w:val="center"/>
          </w:tcPr>
          <w:p>
            <w:r>
              <w:rPr>
                <w:sz w:val="18"/>
              </w:rPr>
              <w:t>East of CS1</w:t>
            </w:r>
          </w:p>
        </w:tc>
      </w:tr>
      <w:tr>
        <w:tc>
          <w:tcPr>
            <w:tcW w:type="dxa" w:w="850"/>
            <w:shd w:val="clear" w:color="auto" w:fill="F2F2F2"/>
            <w:vAlign w:val="center"/>
          </w:tcPr>
          <w:p>
            <w:r>
              <w:rPr>
                <w:sz w:val="18"/>
              </w:rPr>
              <w:t>AM</w:t>
            </w:r>
          </w:p>
        </w:tc>
        <w:tc>
          <w:tcPr>
            <w:tcW w:type="dxa" w:w="3118"/>
            <w:shd w:val="clear" w:color="auto" w:fill="F2F2F2"/>
            <w:vAlign w:val="center"/>
          </w:tcPr>
          <w:p>
            <w:r>
              <w:rPr>
                <w:sz w:val="18"/>
              </w:rPr>
              <w:t>Amenities Block</w:t>
            </w:r>
          </w:p>
        </w:tc>
        <w:tc>
          <w:tcPr>
            <w:tcW w:type="dxa" w:w="1587"/>
            <w:shd w:val="clear" w:color="auto" w:fill="F2F2F2"/>
            <w:vAlign w:val="center"/>
          </w:tcPr>
          <w:p>
            <w:r>
              <w:rPr>
                <w:sz w:val="18"/>
              </w:rPr>
              <w:t>8×5 m</w:t>
            </w:r>
          </w:p>
        </w:tc>
        <w:tc>
          <w:tcPr>
            <w:tcW w:type="dxa" w:w="1984"/>
            <w:shd w:val="clear" w:color="auto" w:fill="F2F2F2"/>
            <w:vAlign w:val="center"/>
          </w:tcPr>
          <w:p>
            <w:r>
              <w:rPr>
                <w:sz w:val="18"/>
              </w:rPr>
              <w:t>Brick, self-contained</w:t>
            </w:r>
          </w:p>
        </w:tc>
        <w:tc>
          <w:tcPr>
            <w:tcW w:type="dxa" w:w="2381"/>
            <w:shd w:val="clear" w:color="auto" w:fill="F2F2F2"/>
            <w:vAlign w:val="center"/>
          </w:tcPr>
          <w:p>
            <w:r>
              <w:rPr>
                <w:sz w:val="18"/>
              </w:rPr>
              <w:t>Adjacent to PH entry</w:t>
            </w:r>
          </w:p>
        </w:tc>
      </w:tr>
      <w:tr>
        <w:tc>
          <w:tcPr>
            <w:tcW w:type="dxa" w:w="850"/>
            <w:shd w:val="clear" w:color="auto" w:fill="FFFFFF"/>
            <w:vAlign w:val="center"/>
          </w:tcPr>
          <w:p>
            <w:r>
              <w:rPr>
                <w:sz w:val="18"/>
              </w:rPr>
              <w:t>CH</w:t>
            </w:r>
          </w:p>
        </w:tc>
        <w:tc>
          <w:tcPr>
            <w:tcW w:type="dxa" w:w="3118"/>
            <w:shd w:val="clear" w:color="auto" w:fill="FFFFFF"/>
            <w:vAlign w:val="center"/>
          </w:tcPr>
          <w:p>
            <w:r>
              <w:rPr>
                <w:sz w:val="18"/>
              </w:rPr>
              <w:t>Chemical Store</w:t>
            </w:r>
          </w:p>
        </w:tc>
        <w:tc>
          <w:tcPr>
            <w:tcW w:type="dxa" w:w="1587"/>
            <w:shd w:val="clear" w:color="auto" w:fill="FFFFFF"/>
            <w:vAlign w:val="center"/>
          </w:tcPr>
          <w:p>
            <w:r>
              <w:rPr>
                <w:sz w:val="18"/>
              </w:rPr>
              <w:t>5×4 m</w:t>
            </w:r>
          </w:p>
        </w:tc>
        <w:tc>
          <w:tcPr>
            <w:tcW w:type="dxa" w:w="1984"/>
            <w:shd w:val="clear" w:color="auto" w:fill="FFFFFF"/>
            <w:vAlign w:val="center"/>
          </w:tcPr>
          <w:p>
            <w:r>
              <w:rPr>
                <w:sz w:val="18"/>
              </w:rPr>
              <w:t>Steel, bunded slab</w:t>
            </w:r>
          </w:p>
        </w:tc>
        <w:tc>
          <w:tcPr>
            <w:tcW w:type="dxa" w:w="2381"/>
            <w:shd w:val="clear" w:color="auto" w:fill="FFFFFF"/>
            <w:vAlign w:val="center"/>
          </w:tcPr>
          <w:p>
            <w:r>
              <w:rPr>
                <w:sz w:val="18"/>
              </w:rPr>
              <w:t>SW corner</w:t>
            </w:r>
          </w:p>
        </w:tc>
      </w:tr>
      <w:tr>
        <w:tc>
          <w:tcPr>
            <w:tcW w:type="dxa" w:w="850"/>
            <w:shd w:val="clear" w:color="auto" w:fill="F2F2F2"/>
            <w:vAlign w:val="center"/>
          </w:tcPr>
          <w:p>
            <w:r>
              <w:rPr>
                <w:sz w:val="18"/>
              </w:rPr>
              <w:t>IB</w:t>
            </w:r>
          </w:p>
        </w:tc>
        <w:tc>
          <w:tcPr>
            <w:tcW w:type="dxa" w:w="3118"/>
            <w:shd w:val="clear" w:color="auto" w:fill="F2F2F2"/>
            <w:vAlign w:val="center"/>
          </w:tcPr>
          <w:p>
            <w:r>
              <w:rPr>
                <w:sz w:val="18"/>
              </w:rPr>
              <w:t>DAFF Inspection Room</w:t>
            </w:r>
          </w:p>
        </w:tc>
        <w:tc>
          <w:tcPr>
            <w:tcW w:type="dxa" w:w="1587"/>
            <w:shd w:val="clear" w:color="auto" w:fill="F2F2F2"/>
            <w:vAlign w:val="center"/>
          </w:tcPr>
          <w:p>
            <w:r>
              <w:rPr>
                <w:sz w:val="18"/>
              </w:rPr>
              <w:t>6×5 m</w:t>
            </w:r>
          </w:p>
        </w:tc>
        <w:tc>
          <w:tcPr>
            <w:tcW w:type="dxa" w:w="1984"/>
            <w:shd w:val="clear" w:color="auto" w:fill="F2F2F2"/>
            <w:vAlign w:val="center"/>
          </w:tcPr>
          <w:p>
            <w:r>
              <w:rPr>
                <w:sz w:val="18"/>
              </w:rPr>
              <w:t>Enclosed steel room in PH</w:t>
            </w:r>
          </w:p>
        </w:tc>
        <w:tc>
          <w:tcPr>
            <w:tcW w:type="dxa" w:w="2381"/>
            <w:shd w:val="clear" w:color="auto" w:fill="F2F2F2"/>
            <w:vAlign w:val="center"/>
          </w:tcPr>
          <w:p>
            <w:r>
              <w:rPr>
                <w:sz w:val="18"/>
              </w:rPr>
              <w:t>PH north wall</w:t>
            </w:r>
          </w:p>
        </w:tc>
      </w:tr>
    </w:tbl>
    <w:p/>
    <w:p>
      <w:pPr>
        <w:pStyle w:val="Heading1"/>
      </w:pPr>
      <w:r>
        <w:rPr>
          <w:color w:val="1F497D"/>
        </w:rPr>
        <w:t>3.  EQUIPMENT AND MACHINERY</w:t>
      </w:r>
    </w:p>
    <w:p>
      <w:r>
        <w:rPr>
          <w:i/>
          <w:color w:val="555555"/>
          <w:sz w:val="18"/>
        </w:rPr>
        <w:t>Rules s4-2(4) — equipment adequate for the type of export operations conducted</w:t>
      </w:r>
    </w:p>
    <w:tbl>
      <w:tblPr>
        <w:tblStyle w:val="TableGrid"/>
        <w:tblW w:type="auto" w:w="0"/>
        <w:jc w:val="left"/>
        <w:tblLook w:firstColumn="1" w:firstRow="1" w:lastColumn="0" w:lastRow="0" w:noHBand="0" w:noVBand="1" w:val="04A0"/>
      </w:tblPr>
      <w:tblGrid>
        <w:gridCol w:w="3024"/>
        <w:gridCol w:w="3024"/>
        <w:gridCol w:w="3024"/>
      </w:tblGrid>
      <w:tr>
        <w:tc>
          <w:tcPr>
            <w:tcW w:type="dxa" w:w="3685"/>
            <w:shd w:val="clear" w:color="auto" w:fill="1F497D"/>
            <w:vAlign w:val="center"/>
          </w:tcPr>
          <w:p>
            <w:r>
              <w:rPr>
                <w:b/>
                <w:color w:val="FFFFFF"/>
                <w:sz w:val="18"/>
              </w:rPr>
              <w:t>Item</w:t>
            </w:r>
          </w:p>
        </w:tc>
        <w:tc>
          <w:tcPr>
            <w:tcW w:type="dxa" w:w="1984"/>
            <w:shd w:val="clear" w:color="auto" w:fill="1F497D"/>
            <w:vAlign w:val="center"/>
          </w:tcPr>
          <w:p>
            <w:r>
              <w:rPr>
                <w:b/>
                <w:color w:val="FFFFFF"/>
                <w:sz w:val="18"/>
              </w:rPr>
              <w:t>Quantity / Spec</w:t>
            </w:r>
          </w:p>
        </w:tc>
        <w:tc>
          <w:tcPr>
            <w:tcW w:type="dxa" w:w="4252"/>
            <w:shd w:val="clear" w:color="auto" w:fill="1F497D"/>
            <w:vAlign w:val="center"/>
          </w:tcPr>
          <w:p>
            <w:r>
              <w:rPr>
                <w:b/>
                <w:color w:val="FFFFFF"/>
                <w:sz w:val="18"/>
              </w:rPr>
              <w:t>Purpose</w:t>
            </w:r>
          </w:p>
        </w:tc>
      </w:tr>
      <w:tr>
        <w:tc>
          <w:tcPr>
            <w:tcW w:type="dxa" w:w="3685"/>
            <w:shd w:val="clear" w:color="auto" w:fill="FFFFFF"/>
            <w:vAlign w:val="center"/>
          </w:tcPr>
          <w:p>
            <w:r>
              <w:rPr>
                <w:sz w:val="18"/>
              </w:rPr>
              <w:t>Fruit washing and brushing line</w:t>
            </w:r>
          </w:p>
        </w:tc>
        <w:tc>
          <w:tcPr>
            <w:tcW w:type="dxa" w:w="1984"/>
            <w:shd w:val="clear" w:color="auto" w:fill="FFFFFF"/>
            <w:vAlign w:val="center"/>
          </w:tcPr>
          <w:p>
            <w:r>
              <w:rPr>
                <w:sz w:val="18"/>
              </w:rPr>
              <w:t>1 unit</w:t>
            </w:r>
          </w:p>
        </w:tc>
        <w:tc>
          <w:tcPr>
            <w:tcW w:type="dxa" w:w="4252"/>
            <w:shd w:val="clear" w:color="auto" w:fill="FFFFFF"/>
            <w:vAlign w:val="center"/>
          </w:tcPr>
          <w:p>
            <w:r>
              <w:rPr>
                <w:sz w:val="18"/>
              </w:rPr>
              <w:t>Pre-grading hygiene</w:t>
            </w:r>
          </w:p>
        </w:tc>
      </w:tr>
      <w:tr>
        <w:tc>
          <w:tcPr>
            <w:tcW w:type="dxa" w:w="3685"/>
            <w:shd w:val="clear" w:color="auto" w:fill="F2F2F2"/>
            <w:vAlign w:val="center"/>
          </w:tcPr>
          <w:p>
            <w:r>
              <w:rPr>
                <w:sz w:val="18"/>
              </w:rPr>
              <w:t>Optical grader (weight/colour/defect)</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grade sorting</w:t>
            </w:r>
          </w:p>
        </w:tc>
      </w:tr>
      <w:tr>
        <w:tc>
          <w:tcPr>
            <w:tcW w:type="dxa" w:w="3685"/>
            <w:shd w:val="clear" w:color="auto" w:fill="FFFFFF"/>
            <w:vAlign w:val="center"/>
          </w:tcPr>
          <w:p>
            <w:r>
              <w:rPr>
                <w:sz w:val="18"/>
              </w:rPr>
              <w:t>Sticker/label applicator</w:t>
            </w:r>
          </w:p>
        </w:tc>
        <w:tc>
          <w:tcPr>
            <w:tcW w:type="dxa" w:w="1984"/>
            <w:shd w:val="clear" w:color="auto" w:fill="FFFFFF"/>
            <w:vAlign w:val="center"/>
          </w:tcPr>
          <w:p>
            <w:r>
              <w:rPr>
                <w:sz w:val="18"/>
              </w:rPr>
              <w:t>1 unit</w:t>
            </w:r>
          </w:p>
        </w:tc>
        <w:tc>
          <w:tcPr>
            <w:tcW w:type="dxa" w:w="4252"/>
            <w:shd w:val="clear" w:color="auto" w:fill="FFFFFF"/>
            <w:vAlign w:val="center"/>
          </w:tcPr>
          <w:p>
            <w:r>
              <w:rPr>
                <w:sz w:val="18"/>
              </w:rPr>
              <w:t>Retail and export labelling</w:t>
            </w:r>
          </w:p>
        </w:tc>
      </w:tr>
      <w:tr>
        <w:tc>
          <w:tcPr>
            <w:tcW w:type="dxa" w:w="3685"/>
            <w:shd w:val="clear" w:color="auto" w:fill="F2F2F2"/>
            <w:vAlign w:val="center"/>
          </w:tcPr>
          <w:p>
            <w:r>
              <w:rPr>
                <w:sz w:val="18"/>
              </w:rPr>
              <w:t>Palletiser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Export pallet build</w:t>
            </w:r>
          </w:p>
        </w:tc>
      </w:tr>
      <w:tr>
        <w:tc>
          <w:tcPr>
            <w:tcW w:type="dxa" w:w="3685"/>
            <w:shd w:val="clear" w:color="auto" w:fill="FFFFFF"/>
            <w:vAlign w:val="center"/>
          </w:tcPr>
          <w:p>
            <w:r>
              <w:rPr>
                <w:sz w:val="18"/>
              </w:rPr>
              <w:t>Metal detector</w:t>
            </w:r>
          </w:p>
        </w:tc>
        <w:tc>
          <w:tcPr>
            <w:tcW w:type="dxa" w:w="1984"/>
            <w:shd w:val="clear" w:color="auto" w:fill="FFFFFF"/>
            <w:vAlign w:val="center"/>
          </w:tcPr>
          <w:p>
            <w:r>
              <w:rPr>
                <w:sz w:val="18"/>
              </w:rPr>
              <w:t>CCP inline</w:t>
            </w:r>
          </w:p>
        </w:tc>
        <w:tc>
          <w:tcPr>
            <w:tcW w:type="dxa" w:w="4252"/>
            <w:shd w:val="clear" w:color="auto" w:fill="FFFFFF"/>
            <w:vAlign w:val="center"/>
          </w:tcPr>
          <w:p>
            <w:r>
              <w:rPr>
                <w:sz w:val="18"/>
              </w:rPr>
              <w:t>Food safety — export compliance</w:t>
            </w:r>
          </w:p>
        </w:tc>
      </w:tr>
      <w:tr>
        <w:tc>
          <w:tcPr>
            <w:tcW w:type="dxa" w:w="3685"/>
            <w:shd w:val="clear" w:color="auto" w:fill="F2F2F2"/>
            <w:vAlign w:val="center"/>
          </w:tcPr>
          <w:p>
            <w:r>
              <w:rPr>
                <w:sz w:val="18"/>
              </w:rPr>
              <w:t>Weigh-price labeller</w:t>
            </w:r>
          </w:p>
        </w:tc>
        <w:tc>
          <w:tcPr>
            <w:tcW w:type="dxa" w:w="1984"/>
            <w:shd w:val="clear" w:color="auto" w:fill="F2F2F2"/>
            <w:vAlign w:val="center"/>
          </w:tcPr>
          <w:p>
            <w:r>
              <w:rPr>
                <w:sz w:val="18"/>
              </w:rPr>
              <w:t>1 unit</w:t>
            </w:r>
          </w:p>
        </w:tc>
        <w:tc>
          <w:tcPr>
            <w:tcW w:type="dxa" w:w="4252"/>
            <w:shd w:val="clear" w:color="auto" w:fill="F2F2F2"/>
            <w:vAlign w:val="center"/>
          </w:tcPr>
          <w:p>
            <w:r>
              <w:rPr>
                <w:sz w:val="18"/>
              </w:rPr>
              <w:t>Consumer pack verification</w:t>
            </w:r>
          </w:p>
        </w:tc>
      </w:tr>
    </w:tbl>
    <w:p/>
    <w:p>
      <w:pPr>
        <w:pStyle w:val="Heading1"/>
      </w:pPr>
      <w:r>
        <w:rPr>
          <w:color w:val="1F497D"/>
        </w:rPr>
        <w:t>4.  FACILITIES AND SERVICES</w:t>
      </w:r>
    </w:p>
    <w:p>
      <w:r>
        <w:rPr>
          <w:i/>
          <w:color w:val="555555"/>
          <w:sz w:val="18"/>
        </w:rPr>
        <w:t>Rules s4-2 — Element 2.1 checking points C1, C2, C3</w:t>
      </w:r>
    </w:p>
    <w:p>
      <w:pPr>
        <w:pStyle w:val="Heading2"/>
      </w:pPr>
      <w:r>
        <w:t>4.1  Buildings, Equipment and Facilities (C1)</w:t>
      </w:r>
    </w:p>
    <w:p>
      <w:r>
        <w:rPr>
          <w:b w:val="0"/>
          <w:i w:val="0"/>
          <w:sz w:val="20"/>
        </w:rPr>
        <w:t>The establishment has all buildings, equipment, facilities and services required for the registered export operations. Facilities are maintained in an operational condition appropriate for handling and exporting Citrus.</w:t>
      </w:r>
    </w:p>
    <w:p>
      <w:pPr>
        <w:pStyle w:val="Heading2"/>
      </w:pPr>
      <w:r>
        <w:t>4.2  Lighting (C2)</w:t>
      </w:r>
    </w:p>
    <w:p>
      <w:r>
        <w:rPr>
          <w:b w:val="0"/>
          <w:i w:val="0"/>
          <w:sz w:val="20"/>
        </w:rPr>
        <w:t>High-efficiency LED battens throughout: 570 lux packing hall, 440 lux cool store entry, 418 lux dispatch bay. Sensor-activated step-lighting along conveyor access walkways. All fittings shatterproof-sleeved, IP54 rated minimum.</w:t>
      </w:r>
    </w:p>
    <w:p>
      <w:pPr>
        <w:pStyle w:val="Heading2"/>
      </w:pPr>
      <w:r>
        <w:t>4.3  Handwashing and Toilet Facilities (C3)</w:t>
      </w:r>
    </w:p>
    <w:p>
      <w:r>
        <w:rPr>
          <w:b w:val="0"/>
          <w:i w:val="0"/>
          <w:sz w:val="20"/>
        </w:rPr>
        <w:t>Purpose-built amenities: 3 toilets, 3 hand basins — insulated hot-water system, soap and single-use paper towels. Amenities connected to main processing building via covered walkway. In-line handwash basin at processing floor entry point.</w:t>
      </w:r>
    </w:p>
    <w:p/>
    <w:p>
      <w:pPr>
        <w:pStyle w:val="Heading1"/>
      </w:pPr>
      <w:r>
        <w:rPr>
          <w:color w:val="1F497D"/>
        </w:rPr>
        <w:t>5.  DESIGN AND CONSTRUCTION STANDARDS</w:t>
      </w:r>
    </w:p>
    <w:p>
      <w:r>
        <w:rPr>
          <w:i/>
          <w:color w:val="555555"/>
          <w:sz w:val="18"/>
        </w:rPr>
        <w:t>Rules s4-2(5), s4-2(6) — Element 2.2 checking points C4, C5, C6</w:t>
      </w:r>
    </w:p>
    <w:p>
      <w:pPr>
        <w:pStyle w:val="Heading2"/>
      </w:pPr>
      <w:r>
        <w:t>5.1  Cleanability (C4)</w:t>
      </w:r>
    </w:p>
    <w:p>
      <w:r>
        <w:rPr>
          <w:b w:val="0"/>
          <w:i w:val="0"/>
          <w:sz w:val="20"/>
        </w:rPr>
        <w:t>Purpose-built construction with cleanability designed in: coved epoxy floors, smooth coated-steel wall panels, no horizontal ledges on equipment or structure, all joints sealed with food-grade silicone, recessed floor drain channels with removable SS covers. Annual deep-clean by specialist contractor supplements weekly programme.</w:t>
      </w:r>
    </w:p>
    <w:p>
      <w:pPr>
        <w:pStyle w:val="Heading2"/>
      </w:pPr>
      <w:r>
        <w:t>5.2  Contamination and Pest Harbourage Minimisation (C5)</w:t>
      </w:r>
    </w:p>
    <w:p>
      <w:r>
        <w:rPr>
          <w:b w:val="0"/>
          <w:i w:val="0"/>
          <w:sz w:val="20"/>
        </w:rPr>
        <w:t>Building envelope sealed to export standard: galvanised mesh (6 mm) on all openings; door brush seals replaced every 2 years; expansion joints filled with flexible polyurethane; no open eaves — soffit board sealed to top of wall cladding; all roof penetrations (vents, conduits) flashed and sealed. No horizontal structural members without drainage slope.</w:t>
      </w:r>
    </w:p>
    <w:p>
      <w:pPr>
        <w:pStyle w:val="Heading2"/>
      </w:pPr>
      <w:r>
        <w:t>5.3  Waste Disposal Design (C6)</w:t>
      </w:r>
    </w:p>
    <w:p>
      <w:r>
        <w:rPr>
          <w:b w:val="0"/>
          <w:i w:val="0"/>
          <w:sz w:val="20"/>
        </w:rPr>
        <w:t>Waste disposal: bunded concrete waste pad (4×6 m, 150 mm kerb on 3 sides) adjacent to building for solid waste collection in sealed lidded bins; liquid waste to licensed grease-trap and sewer connection; dust collection by wet scrubber — effluent to contained holding pond; all chemical waste in labelled containers in chemical store for licensed disposal. Records maintained.</w:t>
      </w:r>
    </w:p>
    <w:p/>
    <w:p>
      <w:pPr>
        <w:pStyle w:val="Heading1"/>
      </w:pPr>
      <w:r>
        <w:rPr>
          <w:color w:val="1F497D"/>
        </w:rPr>
        <w:t>6.  WASTE MANAGEMENT SYSTEM</w:t>
      </w:r>
    </w:p>
    <w:p>
      <w:r>
        <w:rPr>
          <w:i/>
          <w:color w:val="555555"/>
          <w:sz w:val="18"/>
        </w:rPr>
        <w:t>Rules s4-7A(2)(a) — Element 3.1 checking point C7</w:t>
      </w:r>
    </w:p>
    <w:p>
      <w:pPr>
        <w:pStyle w:val="Heading2"/>
      </w:pPr>
      <w:r>
        <w:t>6.1  Waste Management Procedures (C7)</w:t>
      </w:r>
    </w:p>
    <w:p>
      <w:r>
        <w:rPr>
          <w:b w:val="0"/>
          <w:i w:val="0"/>
          <w:sz w:val="20"/>
        </w:rPr>
        <w:t>Waste Management SOP (WM-SOP-171, version 2.1, current): specifies waste stream segregation, bin placement, collection frequencies and disposal methods. Reviewed bi-annually. Non-conformances logged in the corrective action register. Accessible to all staff on site intranet.</w:t>
      </w:r>
    </w:p>
    <w:p/>
    <w:p>
      <w:r>
        <w:rPr>
          <w:b/>
          <w:i w:val="0"/>
          <w:sz w:val="20"/>
        </w:rPr>
        <w:t>Waste streams and handling arrangements:</w:t>
      </w:r>
    </w:p>
    <w:tbl>
      <w:tblPr>
        <w:tblStyle w:val="TableGrid"/>
        <w:tblW w:type="auto" w:w="0"/>
        <w:jc w:val="left"/>
        <w:tblLook w:firstColumn="1" w:firstRow="1" w:lastColumn="0" w:lastRow="0" w:noHBand="0" w:noVBand="1" w:val="04A0"/>
      </w:tblPr>
      <w:tblGrid>
        <w:gridCol w:w="3024"/>
        <w:gridCol w:w="3024"/>
        <w:gridCol w:w="3024"/>
      </w:tblGrid>
      <w:tr>
        <w:tc>
          <w:tcPr>
            <w:tcW w:type="dxa" w:w="2835"/>
            <w:shd w:val="clear" w:color="auto" w:fill="1F497D"/>
            <w:vAlign w:val="center"/>
          </w:tcPr>
          <w:p>
            <w:r>
              <w:rPr>
                <w:b/>
                <w:color w:val="FFFFFF"/>
                <w:sz w:val="18"/>
              </w:rPr>
              <w:t>Waste Type</w:t>
            </w:r>
          </w:p>
        </w:tc>
        <w:tc>
          <w:tcPr>
            <w:tcW w:type="dxa" w:w="4252"/>
            <w:shd w:val="clear" w:color="auto" w:fill="1F497D"/>
            <w:vAlign w:val="center"/>
          </w:tcPr>
          <w:p>
            <w:r>
              <w:rPr>
                <w:b/>
                <w:color w:val="FFFFFF"/>
                <w:sz w:val="18"/>
              </w:rPr>
              <w:t>Handling Method</w:t>
            </w:r>
          </w:p>
        </w:tc>
        <w:tc>
          <w:tcPr>
            <w:tcW w:type="dxa" w:w="2835"/>
            <w:shd w:val="clear" w:color="auto" w:fill="1F497D"/>
            <w:vAlign w:val="center"/>
          </w:tcPr>
          <w:p>
            <w:r>
              <w:rPr>
                <w:b/>
                <w:color w:val="FFFFFF"/>
                <w:sz w:val="18"/>
              </w:rPr>
              <w:t>Removal Frequency</w:t>
            </w:r>
          </w:p>
        </w:tc>
      </w:tr>
      <w:tr>
        <w:tc>
          <w:tcPr>
            <w:tcW w:type="dxa" w:w="2835"/>
            <w:shd w:val="clear" w:color="auto" w:fill="FFFFFF"/>
            <w:vAlign w:val="center"/>
          </w:tcPr>
          <w:p>
            <w:r>
              <w:rPr>
                <w:sz w:val="18"/>
              </w:rPr>
              <w:t>Fruit culls and trim waste</w:t>
            </w:r>
          </w:p>
        </w:tc>
        <w:tc>
          <w:tcPr>
            <w:tcW w:type="dxa" w:w="4252"/>
            <w:shd w:val="clear" w:color="auto" w:fill="FFFFFF"/>
            <w:vAlign w:val="center"/>
          </w:tcPr>
          <w:p>
            <w:r>
              <w:rPr>
                <w:sz w:val="18"/>
              </w:rPr>
              <w:t>Bins at grading line, hourly removal to compost bay</w:t>
            </w:r>
          </w:p>
        </w:tc>
        <w:tc>
          <w:tcPr>
            <w:tcW w:type="dxa" w:w="2835"/>
            <w:shd w:val="clear" w:color="auto" w:fill="FFFFFF"/>
            <w:vAlign w:val="center"/>
          </w:tcPr>
          <w:p>
            <w:r>
              <w:rPr>
                <w:sz w:val="18"/>
              </w:rPr>
              <w:t>Daily</w:t>
            </w:r>
          </w:p>
        </w:tc>
      </w:tr>
      <w:tr>
        <w:tc>
          <w:tcPr>
            <w:tcW w:type="dxa" w:w="2835"/>
            <w:shd w:val="clear" w:color="auto" w:fill="F2F2F2"/>
            <w:vAlign w:val="center"/>
          </w:tcPr>
          <w:p>
            <w:r>
              <w:rPr>
                <w:sz w:val="18"/>
              </w:rPr>
              <w:t>Washdown water</w:t>
            </w:r>
          </w:p>
        </w:tc>
        <w:tc>
          <w:tcPr>
            <w:tcW w:type="dxa" w:w="4252"/>
            <w:shd w:val="clear" w:color="auto" w:fill="F2F2F2"/>
            <w:vAlign w:val="center"/>
          </w:tcPr>
          <w:p>
            <w:r>
              <w:rPr>
                <w:sz w:val="18"/>
              </w:rPr>
              <w:t>Recessed drains → grease trap → trade waste</w:t>
            </w:r>
          </w:p>
        </w:tc>
        <w:tc>
          <w:tcPr>
            <w:tcW w:type="dxa" w:w="2835"/>
            <w:shd w:val="clear" w:color="auto" w:fill="F2F2F2"/>
            <w:vAlign w:val="center"/>
          </w:tcPr>
          <w:p>
            <w:r>
              <w:rPr>
                <w:sz w:val="18"/>
              </w:rPr>
              <w:t>Weekly grease trap inspection</w:t>
            </w:r>
          </w:p>
        </w:tc>
      </w:tr>
      <w:tr>
        <w:tc>
          <w:tcPr>
            <w:tcW w:type="dxa" w:w="2835"/>
            <w:shd w:val="clear" w:color="auto" w:fill="FFFFFF"/>
            <w:vAlign w:val="center"/>
          </w:tcPr>
          <w:p>
            <w:r>
              <w:rPr>
                <w:sz w:val="18"/>
              </w:rPr>
              <w:t>Packaging waste (film, cardboard, foam)</w:t>
            </w:r>
          </w:p>
        </w:tc>
        <w:tc>
          <w:tcPr>
            <w:tcW w:type="dxa" w:w="4252"/>
            <w:shd w:val="clear" w:color="auto" w:fill="FFFFFF"/>
            <w:vAlign w:val="center"/>
          </w:tcPr>
          <w:p>
            <w:r>
              <w:rPr>
                <w:sz w:val="18"/>
              </w:rPr>
              <w:t>Baler in external waste bay</w:t>
            </w:r>
          </w:p>
        </w:tc>
        <w:tc>
          <w:tcPr>
            <w:tcW w:type="dxa" w:w="2835"/>
            <w:shd w:val="clear" w:color="auto" w:fill="FFFFFF"/>
            <w:vAlign w:val="center"/>
          </w:tcPr>
          <w:p>
            <w:r>
              <w:rPr>
                <w:sz w:val="18"/>
              </w:rPr>
              <w:t>Fortnightly collection</w:t>
            </w:r>
          </w:p>
        </w:tc>
      </w:tr>
      <w:tr>
        <w:tc>
          <w:tcPr>
            <w:tcW w:type="dxa" w:w="2835"/>
            <w:shd w:val="clear" w:color="auto" w:fill="F2F2F2"/>
            <w:vAlign w:val="center"/>
          </w:tcPr>
          <w:p>
            <w:r>
              <w:rPr>
                <w:sz w:val="18"/>
              </w:rPr>
              <w:t>Chemical containers</w:t>
            </w:r>
          </w:p>
        </w:tc>
        <w:tc>
          <w:tcPr>
            <w:tcW w:type="dxa" w:w="4252"/>
            <w:shd w:val="clear" w:color="auto" w:fill="F2F2F2"/>
            <w:vAlign w:val="center"/>
          </w:tcPr>
          <w:p>
            <w:r>
              <w:rPr>
                <w:sz w:val="18"/>
              </w:rPr>
              <w:t>Sealed store, labelled</w:t>
            </w:r>
          </w:p>
        </w:tc>
        <w:tc>
          <w:tcPr>
            <w:tcW w:type="dxa" w:w="2835"/>
            <w:shd w:val="clear" w:color="auto" w:fill="F2F2F2"/>
            <w:vAlign w:val="center"/>
          </w:tcPr>
          <w:p>
            <w:r>
              <w:rPr>
                <w:sz w:val="18"/>
              </w:rPr>
              <w:t>Quarterly licensed disposal</w:t>
            </w:r>
          </w:p>
        </w:tc>
      </w:tr>
    </w:tbl>
    <w:p/>
    <w:p>
      <w:pPr>
        <w:pStyle w:val="Heading1"/>
      </w:pPr>
      <w:r>
        <w:rPr>
          <w:color w:val="1F497D"/>
        </w:rPr>
        <w:t>7.  ESTABLISHMENT CONDITION</w:t>
      </w:r>
    </w:p>
    <w:p>
      <w:r>
        <w:rPr>
          <w:i/>
          <w:color w:val="555555"/>
          <w:sz w:val="18"/>
        </w:rPr>
        <w:t>Rules s4-6 — Element 3.4 (C8) and Element 3.5 (C9)</w:t>
      </w:r>
    </w:p>
    <w:p>
      <w:pPr>
        <w:pStyle w:val="Heading2"/>
      </w:pPr>
      <w:r>
        <w:t>7.1  Hygiene and Cleanliness (C8)</w:t>
      </w:r>
    </w:p>
    <w:p>
      <w:r>
        <w:rPr>
          <w:b w:val="0"/>
          <w:i w:val="0"/>
          <w:sz w:val="20"/>
        </w:rPr>
        <w:t>Internal inspection results: floor — no accumulated debris in corners or wall bases; equipment — all conveyor belts, rollers and hoppers clean; overhead structure — free from hanging debris; drains — clear and odour-free; amenities — clean with full consumable stocks. Last full deep-clean: 8 weeks prior to this assessment.</w:t>
      </w:r>
    </w:p>
    <w:p>
      <w:pPr>
        <w:pStyle w:val="Heading2"/>
      </w:pPr>
      <w:r>
        <w:t>7.2  Pest Condition (C9)</w:t>
      </w:r>
    </w:p>
    <w:p>
      <w:r>
        <w:rPr>
          <w:b w:val="0"/>
          <w:i w:val="0"/>
          <w:sz w:val="20"/>
        </w:rPr>
        <w:t>Current pest status: all monitoring indicators within acceptable range. Rodent bait consumption at routine background level. Insect sticky traps show no grain storage pest species. No evidence of bird entry. Bait station register up to date and signed by licensed pest management technician (last service: March 2025).</w:t>
      </w:r>
    </w:p>
    <w:p/>
    <w:p>
      <w:pPr>
        <w:pStyle w:val="Heading1"/>
      </w:pPr>
      <w:r>
        <w:rPr>
          <w:color w:val="1F497D"/>
        </w:rPr>
        <w:t>8.  SERVICES</w:t>
      </w:r>
    </w:p>
    <w:tbl>
      <w:tblPr>
        <w:tblStyle w:val="TableGrid"/>
        <w:tblW w:type="auto" w:w="0"/>
        <w:jc w:val="left"/>
        <w:tblLook w:firstColumn="1" w:firstRow="1" w:lastColumn="0" w:lastRow="0" w:noHBand="0" w:noVBand="1" w:val="04A0"/>
      </w:tblPr>
      <w:tblGrid>
        <w:gridCol w:w="4536"/>
        <w:gridCol w:w="4536"/>
      </w:tblGrid>
      <w:tr>
        <w:tc>
          <w:tcPr>
            <w:tcW w:type="dxa" w:w="2551"/>
            <w:shd w:val="clear" w:color="auto" w:fill="1F497D"/>
            <w:vAlign w:val="center"/>
          </w:tcPr>
          <w:p>
            <w:r>
              <w:rPr>
                <w:b/>
                <w:color w:val="FFFFFF"/>
                <w:sz w:val="18"/>
              </w:rPr>
              <w:t>Service</w:t>
            </w:r>
          </w:p>
        </w:tc>
        <w:tc>
          <w:tcPr>
            <w:tcW w:type="dxa" w:w="7370"/>
            <w:shd w:val="clear" w:color="auto" w:fill="1F497D"/>
            <w:vAlign w:val="center"/>
          </w:tcPr>
          <w:p>
            <w:r>
              <w:rPr>
                <w:b/>
                <w:color w:val="FFFFFF"/>
                <w:sz w:val="18"/>
              </w:rPr>
              <w:t>Details</w:t>
            </w:r>
          </w:p>
        </w:tc>
      </w:tr>
      <w:tr>
        <w:tc>
          <w:tcPr>
            <w:tcW w:type="dxa" w:w="2551"/>
            <w:shd w:val="clear" w:color="auto" w:fill="FFFFFF"/>
            <w:vAlign w:val="center"/>
          </w:tcPr>
          <w:p>
            <w:r>
              <w:rPr>
                <w:sz w:val="18"/>
              </w:rPr>
              <w:t>Electrical supply</w:t>
            </w:r>
          </w:p>
        </w:tc>
        <w:tc>
          <w:tcPr>
            <w:tcW w:type="dxa" w:w="7370"/>
            <w:shd w:val="clear" w:color="auto" w:fill="FFFFFF"/>
            <w:vAlign w:val="center"/>
          </w:tcPr>
          <w:p>
            <w:r>
              <w:rPr>
                <w:sz w:val="18"/>
              </w:rPr>
              <w:t>Three-phase 415 V — WA Power Networks connection at site entry</w:t>
            </w:r>
          </w:p>
        </w:tc>
      </w:tr>
      <w:tr>
        <w:tc>
          <w:tcPr>
            <w:tcW w:type="dxa" w:w="2551"/>
            <w:shd w:val="clear" w:color="auto" w:fill="F2F2F2"/>
            <w:vAlign w:val="center"/>
          </w:tcPr>
          <w:p>
            <w:r>
              <w:rPr>
                <w:sz w:val="18"/>
              </w:rPr>
              <w:t>Water supply</w:t>
            </w:r>
          </w:p>
        </w:tc>
        <w:tc>
          <w:tcPr>
            <w:tcW w:type="dxa" w:w="7370"/>
            <w:shd w:val="clear" w:color="auto" w:fill="F2F2F2"/>
            <w:vAlign w:val="center"/>
          </w:tcPr>
          <w:p>
            <w:r>
              <w:rPr>
                <w:sz w:val="18"/>
              </w:rPr>
              <w:t>mains water — 50 mm service</w:t>
            </w:r>
          </w:p>
        </w:tc>
      </w:tr>
      <w:tr>
        <w:tc>
          <w:tcPr>
            <w:tcW w:type="dxa" w:w="2551"/>
            <w:shd w:val="clear" w:color="auto" w:fill="FFFFFF"/>
            <w:vAlign w:val="center"/>
          </w:tcPr>
          <w:p>
            <w:r>
              <w:rPr>
                <w:sz w:val="18"/>
              </w:rPr>
              <w:t>Telecommunications</w:t>
            </w:r>
          </w:p>
        </w:tc>
        <w:tc>
          <w:tcPr>
            <w:tcW w:type="dxa" w:w="7370"/>
            <w:shd w:val="clear" w:color="auto" w:fill="FFFFFF"/>
            <w:vAlign w:val="center"/>
          </w:tcPr>
          <w:p>
            <w:r>
              <w:rPr>
                <w:sz w:val="18"/>
              </w:rPr>
              <w:t>NBN fixed line + mobile backup at administration/control room</w:t>
            </w:r>
          </w:p>
        </w:tc>
      </w:tr>
      <w:tr>
        <w:tc>
          <w:tcPr>
            <w:tcW w:type="dxa" w:w="2551"/>
            <w:shd w:val="clear" w:color="auto" w:fill="F2F2F2"/>
            <w:vAlign w:val="center"/>
          </w:tcPr>
          <w:p>
            <w:r>
              <w:rPr>
                <w:sz w:val="18"/>
              </w:rPr>
              <w:t>Sewerage</w:t>
            </w:r>
          </w:p>
        </w:tc>
        <w:tc>
          <w:tcPr>
            <w:tcW w:type="dxa" w:w="7370"/>
            <w:shd w:val="clear" w:color="auto" w:fill="F2F2F2"/>
            <w:vAlign w:val="center"/>
          </w:tcPr>
          <w:p>
            <w:r>
              <w:rPr>
                <w:sz w:val="18"/>
              </w:rPr>
              <w:t>Licensed trade waste — EPA approval — serves amenities block</w:t>
            </w:r>
          </w:p>
        </w:tc>
      </w:tr>
      <w:tr>
        <w:tc>
          <w:tcPr>
            <w:tcW w:type="dxa" w:w="2551"/>
            <w:shd w:val="clear" w:color="auto" w:fill="FFFFFF"/>
            <w:vAlign w:val="center"/>
          </w:tcPr>
          <w:p>
            <w:r>
              <w:rPr>
                <w:sz w:val="18"/>
              </w:rPr>
              <w:t>Stormwater</w:t>
            </w:r>
          </w:p>
        </w:tc>
        <w:tc>
          <w:tcPr>
            <w:tcW w:type="dxa" w:w="7370"/>
            <w:shd w:val="clear" w:color="auto" w:fill="FFFFFF"/>
            <w:vAlign w:val="center"/>
          </w:tcPr>
          <w:p>
            <w:r>
              <w:rPr>
                <w:sz w:val="18"/>
              </w:rPr>
              <w:t>Graded hardstand to retention basin with licensed discharge point</w:t>
            </w:r>
          </w:p>
        </w:tc>
      </w:tr>
      <w:tr>
        <w:tc>
          <w:tcPr>
            <w:tcW w:type="dxa" w:w="2551"/>
            <w:shd w:val="clear" w:color="auto" w:fill="F2F2F2"/>
            <w:vAlign w:val="center"/>
          </w:tcPr>
          <w:p>
            <w:r>
              <w:rPr>
                <w:sz w:val="18"/>
              </w:rPr>
              <w:t>Power backup</w:t>
            </w:r>
          </w:p>
        </w:tc>
        <w:tc>
          <w:tcPr>
            <w:tcW w:type="dxa" w:w="7370"/>
            <w:shd w:val="clear" w:color="auto" w:fill="F2F2F2"/>
            <w:vAlign w:val="center"/>
          </w:tcPr>
          <w:p>
            <w:r>
              <w:rPr>
                <w:sz w:val="18"/>
              </w:rPr>
              <w:t>200 kVA diesel generator — auto-start on grid failure</w:t>
            </w:r>
          </w:p>
        </w:tc>
      </w:tr>
    </w:tbl>
    <w:p/>
    <w:p>
      <w:pPr>
        <w:pStyle w:val="Heading1"/>
      </w:pPr>
      <w:r>
        <w:rPr>
          <w:color w:val="1F497D"/>
        </w:rPr>
        <w:t>9.  AUTHORIWATION</w:t>
      </w:r>
    </w:p>
    <w:tbl>
      <w:tblPr>
        <w:tblStyle w:val="TableGrid"/>
        <w:tblW w:type="auto" w:w="0"/>
        <w:tblLook w:firstColumn="1" w:firstRow="1" w:lastColumn="0" w:lastRow="0" w:noHBand="0" w:noVBand="1" w:val="04A0"/>
      </w:tblPr>
      <w:tblGrid>
        <w:gridCol w:w="4536"/>
        <w:gridCol w:w="4536"/>
      </w:tblGrid>
      <w:tr>
        <w:tc>
          <w:tcPr>
            <w:tcW w:type="dxa" w:w="3118"/>
            <w:shd w:val="clear" w:color="auto" w:fill="DCE6F1"/>
            <w:vAlign w:val="center"/>
          </w:tcPr>
          <w:p>
            <w:r>
              <w:rPr>
                <w:b/>
                <w:sz w:val="18"/>
              </w:rPr>
              <w:t>Prepared By</w:t>
            </w:r>
          </w:p>
        </w:tc>
        <w:tc>
          <w:tcPr>
            <w:tcW w:type="dxa" w:w="6236"/>
            <w:vAlign w:val="center"/>
          </w:tcPr>
          <w:p>
            <w:r>
              <w:rPr>
                <w:sz w:val="18"/>
              </w:rPr>
              <w:t>Maria Nguyen</w:t>
            </w:r>
          </w:p>
        </w:tc>
      </w:tr>
      <w:tr>
        <w:tc>
          <w:tcPr>
            <w:tcW w:type="dxa" w:w="3118"/>
            <w:shd w:val="clear" w:color="auto" w:fill="DCE6F1"/>
            <w:vAlign w:val="center"/>
          </w:tcPr>
          <w:p>
            <w:r>
              <w:rPr>
                <w:b/>
                <w:sz w:val="18"/>
              </w:rPr>
              <w:t>Position</w:t>
            </w:r>
          </w:p>
        </w:tc>
        <w:tc>
          <w:tcPr>
            <w:tcW w:type="dxa" w:w="6236"/>
            <w:vAlign w:val="center"/>
          </w:tcPr>
          <w:p>
            <w:r>
              <w:rPr>
                <w:sz w:val="18"/>
              </w:rPr>
              <w:t>Establishment Manager</w:t>
            </w:r>
          </w:p>
        </w:tc>
      </w:tr>
      <w:tr>
        <w:tc>
          <w:tcPr>
            <w:tcW w:type="dxa" w:w="3118"/>
            <w:shd w:val="clear" w:color="auto" w:fill="DCE6F1"/>
            <w:vAlign w:val="center"/>
          </w:tcPr>
          <w:p>
            <w:r>
              <w:rPr>
                <w:b/>
                <w:sz w:val="18"/>
              </w:rPr>
              <w:t>Date</w:t>
            </w:r>
          </w:p>
        </w:tc>
        <w:tc>
          <w:tcPr>
            <w:tcW w:type="dxa" w:w="6236"/>
            <w:vAlign w:val="center"/>
          </w:tcPr>
          <w:p>
            <w:r>
              <w:rPr>
                <w:sz w:val="18"/>
              </w:rPr>
              <w:t>22 February 2024</w:t>
            </w:r>
          </w:p>
        </w:tc>
      </w:tr>
      <w:tr>
        <w:tc>
          <w:tcPr>
            <w:tcW w:type="dxa" w:w="3118"/>
            <w:shd w:val="clear" w:color="auto" w:fill="DCE6F1"/>
            <w:vAlign w:val="center"/>
          </w:tcPr>
          <w:p>
            <w:r>
              <w:rPr>
                <w:b/>
                <w:sz w:val="18"/>
              </w:rPr>
              <w:t>Signature</w:t>
            </w:r>
          </w:p>
        </w:tc>
        <w:tc>
          <w:tcPr>
            <w:tcW w:type="dxa" w:w="6236"/>
            <w:vAlign w:val="center"/>
          </w:tcPr>
          <w:p>
            <w:r>
              <w:rPr>
                <w:sz w:val="18"/>
              </w:rPr>
            </w:r>
          </w:p>
        </w:tc>
      </w:tr>
      <w:tr>
        <w:tc>
          <w:tcPr>
            <w:tcW w:type="dxa" w:w="3118"/>
            <w:shd w:val="clear" w:color="auto" w:fill="DCE6F1"/>
            <w:vAlign w:val="center"/>
          </w:tcPr>
          <w:p>
            <w:r>
              <w:rPr>
                <w:b/>
                <w:sz w:val="18"/>
              </w:rPr>
              <w:t>Approved By</w:t>
            </w:r>
          </w:p>
        </w:tc>
        <w:tc>
          <w:tcPr>
            <w:tcW w:type="dxa" w:w="6236"/>
            <w:vAlign w:val="center"/>
          </w:tcPr>
          <w:p>
            <w:r>
              <w:rPr>
                <w:sz w:val="18"/>
              </w:rPr>
              <w:t>DAFF Authorised Officer</w:t>
            </w:r>
          </w:p>
        </w:tc>
      </w:tr>
      <w:tr>
        <w:tc>
          <w:tcPr>
            <w:tcW w:type="dxa" w:w="3118"/>
            <w:shd w:val="clear" w:color="auto" w:fill="DCE6F1"/>
            <w:vAlign w:val="center"/>
          </w:tcPr>
          <w:p>
            <w:r>
              <w:rPr>
                <w:b/>
                <w:sz w:val="18"/>
              </w:rPr>
              <w:t>Approval Date</w:t>
            </w:r>
          </w:p>
        </w:tc>
        <w:tc>
          <w:tcPr>
            <w:tcW w:type="dxa" w:w="6236"/>
            <w:vAlign w:val="center"/>
          </w:tcPr>
          <w:p>
            <w:r>
              <w:rPr>
                <w:sz w:val="18"/>
              </w:rPr>
            </w:r>
          </w:p>
        </w:tc>
      </w:tr>
    </w:tbl>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