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Bunbury Port Grain</w:t>
            </w:r>
          </w:p>
        </w:tc>
      </w:tr>
      <w:tr>
        <w:tc>
          <w:tcPr>
            <w:tcW w:type="dxa" w:w="4536"/>
            <w:shd w:val="clear" w:color="auto" w:fill="1F497D"/>
            <w:vAlign w:val="center"/>
          </w:tcPr>
          <w:p>
            <w:r>
              <w:rPr>
                <w:b/>
                <w:color w:val="FFFFFF"/>
                <w:sz w:val="18"/>
              </w:rPr>
              <w:t>RE Number</w:t>
            </w:r>
          </w:p>
        </w:tc>
        <w:tc>
          <w:tcPr>
            <w:tcW w:type="dxa" w:w="4536"/>
          </w:tcPr>
          <w:p>
            <w:r>
              <w:rPr>
                <w:sz w:val="18"/>
              </w:rPr>
              <w:t>RE-WA-2022-0211</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9 South Western Highway, Harvey WA 6220</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Tom Birch</w:t>
            </w:r>
          </w:p>
        </w:tc>
      </w:tr>
      <w:tr>
        <w:tc>
          <w:tcPr>
            <w:tcW w:type="dxa" w:w="4536"/>
            <w:shd w:val="clear" w:color="auto" w:fill="1F497D"/>
            <w:vAlign w:val="center"/>
          </w:tcPr>
          <w:p>
            <w:r>
              <w:rPr>
                <w:b/>
                <w:color w:val="FFFFFF"/>
                <w:sz w:val="18"/>
              </w:rPr>
              <w:t>Property Area</w:t>
            </w:r>
          </w:p>
        </w:tc>
        <w:tc>
          <w:tcPr>
            <w:tcW w:type="dxa" w:w="4536"/>
          </w:tcPr>
          <w:p>
            <w:r>
              <w:rPr>
                <w:sz w:val="18"/>
              </w:rPr>
              <w:t>410.0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21 February 2025</w:t>
            </w:r>
          </w:p>
        </w:tc>
      </w:tr>
      <w:tr>
        <w:tc>
          <w:tcPr>
            <w:tcW w:type="dxa" w:w="4536"/>
            <w:shd w:val="clear" w:color="auto" w:fill="1F497D"/>
            <w:vAlign w:val="center"/>
          </w:tcPr>
          <w:p>
            <w:r>
              <w:rPr>
                <w:b/>
                <w:color w:val="FFFFFF"/>
                <w:sz w:val="18"/>
              </w:rPr>
              <w:t>Next Review</w:t>
            </w:r>
          </w:p>
        </w:tc>
        <w:tc>
          <w:tcPr>
            <w:tcW w:type="dxa" w:w="4536"/>
          </w:tcPr>
          <w:p>
            <w:r>
              <w:rPr>
                <w:sz w:val="18"/>
              </w:rPr>
              <w:t>21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Cleaning and hygiene activities are to be carried out as required, in accordance with verbal direction from the establishment manager. Staff are briefed on hygiene expectations during induction.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Tom Birch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All areas</w:t>
            </w:r>
          </w:p>
        </w:tc>
        <w:tc>
          <w:tcPr>
            <w:tcW w:type="dxa" w:w="1512"/>
            <w:shd w:val="clear" w:color="auto" w:fill="FFFFFF"/>
            <w:vAlign w:val="top"/>
            <w:tcW w:w="1417" w:type="dxa"/>
          </w:tcPr>
          <w:p>
            <w:r>
              <w:rPr>
                <w:sz w:val="18"/>
              </w:rPr>
              <w:t>As required</w:t>
            </w:r>
          </w:p>
        </w:tc>
        <w:tc>
          <w:tcPr>
            <w:tcW w:type="dxa" w:w="1512"/>
            <w:shd w:val="clear" w:color="auto" w:fill="FFFFFF"/>
            <w:vAlign w:val="top"/>
            <w:tcW w:w="3118" w:type="dxa"/>
          </w:tcPr>
          <w:p>
            <w:r>
              <w:rPr>
                <w:sz w:val="18"/>
              </w:rPr>
              <w:t>Clean areas as directed by supervisor. No formal frequency schedule applies.</w:t>
            </w:r>
          </w:p>
        </w:tc>
        <w:tc>
          <w:tcPr>
            <w:tcW w:type="dxa" w:w="1512"/>
            <w:shd w:val="clear" w:color="auto" w:fill="FFFFFF"/>
            <w:vAlign w:val="top"/>
            <w:tcW w:w="1814" w:type="dxa"/>
          </w:tcPr>
          <w:p>
            <w:r>
              <w:rPr>
                <w:sz w:val="18"/>
              </w:rPr>
              <w:t>As required</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verbal confirmation</w:t>
            </w:r>
          </w:p>
        </w:tc>
      </w:tr>
    </w:tbl>
    <w:p/>
    <w:p>
      <w:pPr>
        <w:pStyle w:val="Heading1"/>
      </w:pPr>
      <w:r>
        <w:rPr>
          <w:color w:val="1F497D"/>
        </w:rPr>
        <w:t>5.  AREA-SPECIFIC CLEANING PROCEDURES (SOPs)</w:t>
      </w:r>
    </w:p>
    <w:p>
      <w:r>
        <w:rPr>
          <w:i/>
          <w:color w:val="555555"/>
          <w:sz w:val="18"/>
        </w:rPr>
        <w:t>Detailed step-by-step procedures for each area of the establishment</w:t>
      </w:r>
    </w:p>
    <w:p/>
    <w:p>
      <w:r>
        <w:rPr>
          <w:b w:val="0"/>
          <w:i w:val="0"/>
          <w:sz w:val="20"/>
        </w:rPr>
        <w:t>Detailed area procedures are provided verbally by the supervisor or are contained in the General Hygiene Manual.</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Bunbury Port Grain (conducted 21 February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Tom Birch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21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21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