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RE-WA-2023-0018</w:t>
            </w:r>
          </w:p>
        </w:tc>
      </w:tr>
      <w:tr>
        <w:tc>
          <w:tcPr>
            <w:tcW w:type="dxa" w:w="2835"/>
            <w:shd w:val="clear" w:color="auto" w:fill="DCE6F1"/>
          </w:tcPr>
          <w:p>
            <w:r>
              <w:rPr>
                <w:b/>
                <w:sz w:val="20"/>
              </w:rPr>
              <w:t>Application Type</w:t>
            </w:r>
          </w:p>
        </w:tc>
        <w:tc>
          <w:tcPr>
            <w:tcW w:type="dxa" w:w="5669"/>
          </w:tcPr>
          <w:p>
            <w:r>
              <w:rPr>
                <w:sz w:val="20"/>
              </w:rPr>
              <w:t>New registration</w:t>
            </w:r>
          </w:p>
        </w:tc>
      </w:tr>
      <w:tr>
        <w:tc>
          <w:tcPr>
            <w:tcW w:type="dxa" w:w="2835"/>
            <w:shd w:val="clear" w:color="auto" w:fill="DCE6F1"/>
          </w:tcPr>
          <w:p>
            <w:r>
              <w:rPr>
                <w:b/>
                <w:sz w:val="20"/>
              </w:rPr>
              <w:t>Date of Record</w:t>
            </w:r>
          </w:p>
        </w:tc>
        <w:tc>
          <w:tcPr>
            <w:tcW w:type="dxa" w:w="5669"/>
          </w:tcPr>
          <w:p>
            <w:r>
              <w:rPr>
                <w:sz w:val="20"/>
              </w:rPr>
              <w:t>8 April 2025</w:t>
            </w:r>
          </w:p>
        </w:tc>
      </w:tr>
      <w:tr>
        <w:tc>
          <w:tcPr>
            <w:tcW w:type="dxa" w:w="2835"/>
            <w:shd w:val="clear" w:color="auto" w:fill="DCE6F1"/>
          </w:tcPr>
          <w:p>
            <w:r>
              <w:rPr>
                <w:b/>
                <w:sz w:val="20"/>
              </w:rPr>
              <w:t>Commodity</w:t>
            </w:r>
          </w:p>
        </w:tc>
        <w:tc>
          <w:tcPr>
            <w:tcW w:type="dxa" w:w="5669"/>
          </w:tcPr>
          <w:p>
            <w:r>
              <w:rPr>
                <w:sz w:val="20"/>
              </w:rPr>
              <w:t>Canola</w:t>
            </w:r>
          </w:p>
        </w:tc>
      </w:tr>
      <w:tr>
        <w:tc>
          <w:tcPr>
            <w:tcW w:type="dxa" w:w="2835"/>
            <w:shd w:val="clear" w:color="auto" w:fill="DCE6F1"/>
          </w:tcPr>
          <w:p>
            <w:r>
              <w:rPr>
                <w:b/>
                <w:sz w:val="20"/>
              </w:rPr>
              <w:t>Destination</w:t>
            </w:r>
          </w:p>
        </w:tc>
        <w:tc>
          <w:tcPr>
            <w:tcW w:type="dxa" w:w="5669"/>
          </w:tcPr>
          <w:p>
            <w:r>
              <w:rPr>
                <w:sz w:val="20"/>
              </w:rPr>
              <w:t>China</w:t>
            </w:r>
          </w:p>
        </w:tc>
      </w:tr>
      <w:tr>
        <w:tc>
          <w:tcPr>
            <w:tcW w:type="dxa" w:w="2835"/>
            <w:shd w:val="clear" w:color="auto" w:fill="DCE6F1"/>
          </w:tcPr>
          <w:p>
            <w:r>
              <w:rPr>
                <w:b/>
                <w:sz w:val="20"/>
              </w:rPr>
              <w:t>ABN</w:t>
            </w:r>
          </w:p>
        </w:tc>
        <w:tc>
          <w:tcPr>
            <w:tcW w:type="dxa" w:w="5669"/>
          </w:tcPr>
          <w:p>
            <w:r>
              <w:rPr>
                <w:sz w:val="20"/>
              </w:rPr>
              <w:t>15 678 901 235</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Great Southern Canola Pty Ltd</w:t>
            </w:r>
          </w:p>
        </w:tc>
      </w:tr>
      <w:tr>
        <w:tc>
          <w:tcPr>
            <w:tcW w:type="dxa" w:w="2835"/>
            <w:shd w:val="clear" w:color="auto" w:fill="DCE6F1"/>
          </w:tcPr>
          <w:p>
            <w:r>
              <w:rPr>
                <w:b/>
                <w:sz w:val="20"/>
              </w:rPr>
              <w:t>Trading Name</w:t>
            </w:r>
          </w:p>
        </w:tc>
        <w:tc>
          <w:tcPr>
            <w:tcW w:type="dxa" w:w="5669"/>
          </w:tcPr>
          <w:p>
            <w:r>
              <w:rPr>
                <w:sz w:val="20"/>
              </w:rPr>
              <w:t>Great Southern Canola Pty Ltd</w:t>
            </w:r>
          </w:p>
        </w:tc>
      </w:tr>
      <w:tr>
        <w:tc>
          <w:tcPr>
            <w:tcW w:type="dxa" w:w="2835"/>
            <w:shd w:val="clear" w:color="auto" w:fill="DCE6F1"/>
          </w:tcPr>
          <w:p>
            <w:r>
              <w:rPr>
                <w:b/>
                <w:sz w:val="20"/>
              </w:rPr>
              <w:t>Address</w:t>
            </w:r>
          </w:p>
        </w:tc>
        <w:tc>
          <w:tcPr>
            <w:tcW w:type="dxa" w:w="5669"/>
          </w:tcPr>
          <w:p>
            <w:r>
              <w:rPr>
                <w:sz w:val="20"/>
              </w:rPr>
              <w:t>190 Albany Highway, Katanning WA 6317</w:t>
            </w:r>
          </w:p>
        </w:tc>
      </w:tr>
      <w:tr>
        <w:tc>
          <w:tcPr>
            <w:tcW w:type="dxa" w:w="2835"/>
            <w:shd w:val="clear" w:color="auto" w:fill="DCE6F1"/>
          </w:tcPr>
          <w:p>
            <w:r>
              <w:rPr>
                <w:b/>
                <w:sz w:val="20"/>
              </w:rPr>
              <w:t>State/Territory</w:t>
            </w:r>
          </w:p>
        </w:tc>
        <w:tc>
          <w:tcPr>
            <w:tcW w:type="dxa" w:w="5669"/>
          </w:tcPr>
          <w:p>
            <w:r>
              <w:rPr>
                <w:sz w:val="20"/>
              </w:rPr>
              <w:t>WA</w:t>
            </w:r>
          </w:p>
        </w:tc>
      </w:tr>
      <w:tr>
        <w:tc>
          <w:tcPr>
            <w:tcW w:type="dxa" w:w="2835"/>
            <w:shd w:val="clear" w:color="auto" w:fill="DCE6F1"/>
          </w:tcPr>
          <w:p>
            <w:r>
              <w:rPr>
                <w:b/>
                <w:sz w:val="20"/>
              </w:rPr>
              <w:t>Contact Person</w:t>
            </w:r>
          </w:p>
        </w:tc>
        <w:tc>
          <w:tcPr>
            <w:tcW w:type="dxa" w:w="5669"/>
          </w:tcPr>
          <w:p>
            <w:r>
              <w:rPr>
                <w:sz w:val="20"/>
              </w:rPr>
              <w:t>Mark Ellison</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RE-WA-2023-0018</w:t>
            </w:r>
          </w:p>
        </w:tc>
      </w:tr>
      <w:tr>
        <w:tc>
          <w:tcPr>
            <w:tcW w:type="dxa" w:w="2835"/>
            <w:shd w:val="clear" w:color="auto" w:fill="DCE6F1"/>
          </w:tcPr>
          <w:p>
            <w:r>
              <w:rPr>
                <w:b/>
                <w:sz w:val="20"/>
              </w:rPr>
              <w:t>Registration Expiry</w:t>
            </w:r>
          </w:p>
        </w:tc>
        <w:tc>
          <w:tcPr>
            <w:tcW w:type="dxa" w:w="5669"/>
          </w:tcPr>
          <w:p>
            <w:r>
              <w:rPr>
                <w:sz w:val="20"/>
              </w:rPr>
              <w:t>30 April 2026</w:t>
            </w:r>
          </w:p>
        </w:tc>
      </w:tr>
    </w:tbl>
    <w:p/>
    <w:p>
      <w:pPr>
        <w:pStyle w:val="Heading1"/>
      </w:pPr>
      <w:r>
        <w:rPr>
          <w:color w:val="1F497D"/>
          <w:sz w:val="26"/>
        </w:rPr>
        <w:t>2. Registered Export Operations</w:t>
      </w:r>
    </w:p>
    <w:p>
      <w:r>
        <w:rPr>
          <w:sz w:val="20"/>
        </w:rPr>
        <w:t>This establishment is registered to export canola (grain). Current season operations have focused primarily on wheat accumulation and storage following favourable local harvest conditions. A small volume of canola has also been received and is held in silo 3.</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wheat — dominant activity this season</w:t>
            </w:r>
          </w:p>
        </w:tc>
        <w:tc>
          <w:tcPr>
            <w:tcW w:type="dxa" w:w="3135"/>
            <w:shd w:val="clear" w:color="auto" w:fill="F2F2F2"/>
          </w:tcPr>
          <w:p>
            <w:r>
              <w:rPr>
                <w:sz w:val="20"/>
              </w:rPr>
              <w:t>Not registered</w:t>
            </w:r>
          </w:p>
        </w:tc>
      </w:tr>
      <w:tr>
        <w:tc>
          <w:tcPr>
            <w:tcW w:type="dxa" w:w="3135"/>
          </w:tcPr>
          <w:p>
            <w:r>
              <w:rPr>
                <w:sz w:val="20"/>
              </w:rPr>
              <w:t>Canola receival</w:t>
            </w:r>
          </w:p>
        </w:tc>
        <w:tc>
          <w:tcPr>
            <w:tcW w:type="dxa" w:w="3135"/>
          </w:tcPr>
          <w:p>
            <w:r>
              <w:rPr>
                <w:sz w:val="20"/>
              </w:rPr>
              <w:t>Limited intake of canola this season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Co-storage of wheat and canola in shared silo complex</w:t>
            </w:r>
          </w:p>
        </w:tc>
        <w:tc>
          <w:tcPr>
            <w:tcW w:type="dxa" w:w="3135"/>
            <w:shd w:val="clear" w:color="auto" w:fill="F2F2F2"/>
          </w:tcPr>
          <w:p>
            <w:r>
              <w:rPr>
                <w:sz w:val="20"/>
              </w:rPr>
              <w:t>Not registered</w:t>
            </w:r>
          </w:p>
        </w:tc>
      </w:tr>
      <w:tr>
        <w:tc>
          <w:tcPr>
            <w:tcW w:type="dxa" w:w="3135"/>
          </w:tcPr>
          <w:p>
            <w:r>
              <w:rPr>
                <w:sz w:val="20"/>
              </w:rPr>
              <w:t>Dispatch</w:t>
            </w:r>
          </w:p>
        </w:tc>
        <w:tc>
          <w:tcPr>
            <w:tcW w:type="dxa" w:w="3135"/>
          </w:tcPr>
          <w:p>
            <w:r>
              <w:rPr>
                <w:sz w:val="20"/>
              </w:rPr>
              <w:t>Loading of mixed consignments</w:t>
            </w:r>
          </w:p>
        </w:tc>
        <w:tc>
          <w:tcPr>
            <w:tcW w:type="dxa" w:w="3135"/>
          </w:tcPr>
          <w:p>
            <w:r>
              <w:rPr>
                <w:sz w:val="20"/>
              </w:rPr>
              <w:t>Within scope</w:t>
            </w:r>
          </w:p>
        </w:tc>
      </w:tr>
    </w:tbl>
    <w:p/>
    <w:p>
      <w:pPr>
        <w:pStyle w:val="Heading1"/>
      </w:pPr>
      <w:r>
        <w:rPr>
          <w:color w:val="1F497D"/>
          <w:sz w:val="26"/>
        </w:rPr>
        <w:t>3. Registration Status</w:t>
      </w:r>
    </w:p>
    <w:p>
      <w:r>
        <w:rPr>
          <w:sz w:val="20"/>
        </w:rPr>
        <w:t>Registration RE-WA-2023-0018 is current and active. The establishment was granted registration on 1 May 2023 and the current registration period extends to 30 April 2026. There are no conditions, suspensions or reviews attached to this registration.</w:t>
      </w:r>
    </w:p>
    <w:p/>
    <w:p>
      <w:pPr>
        <w:pStyle w:val="Heading1"/>
      </w:pPr>
      <w:r>
        <w:rPr>
          <w:color w:val="1F497D"/>
          <w:sz w:val="26"/>
        </w:rPr>
        <w:t>4. Fit and Proper Person</w:t>
      </w:r>
    </w:p>
    <w:p>
      <w:r>
        <w:rPr>
          <w:sz w:val="20"/>
        </w:rPr>
        <w:t>Mark Ellison is the nominated responsible person for this registration. The establishment has been under continuous management since 2020.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46 on Plan DP 731496, located at 190 Albany Highway, Katanning WA 6317. The total registered area is 48.7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canola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canola.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China: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GACC Registration</w:t>
            </w:r>
          </w:p>
        </w:tc>
        <w:tc>
          <w:tcPr>
            <w:tcW w:type="dxa" w:w="4703"/>
            <w:shd w:val="clear" w:color="auto" w:fill="F2F2F2"/>
          </w:tcPr>
          <w:p>
            <w:r>
              <w:rPr>
                <w:sz w:val="20"/>
              </w:rPr>
              <w:t>Establishment must hold current GACC registration for grain exports</w:t>
            </w:r>
          </w:p>
        </w:tc>
      </w:tr>
      <w:tr>
        <w:tc>
          <w:tcPr>
            <w:tcW w:type="dxa" w:w="4703"/>
          </w:tcPr>
          <w:p>
            <w:r>
              <w:rPr>
                <w:sz w:val="20"/>
              </w:rPr>
              <w:t>Phytosanitary Certificate</w:t>
            </w:r>
          </w:p>
        </w:tc>
        <w:tc>
          <w:tcPr>
            <w:tcW w:type="dxa" w:w="4703"/>
          </w:tcPr>
          <w:p>
            <w:r>
              <w:rPr>
                <w:sz w:val="20"/>
              </w:rPr>
              <w:t>PC issued by DAFF certifying freedom from Karnal bunt, TCK smut and regulated pests</w:t>
            </w:r>
          </w:p>
        </w:tc>
      </w:tr>
      <w:tr>
        <w:tc>
          <w:tcPr>
            <w:tcW w:type="dxa" w:w="4703"/>
            <w:shd w:val="clear" w:color="auto" w:fill="F2F2F2"/>
          </w:tcPr>
          <w:p>
            <w:r>
              <w:rPr>
                <w:sz w:val="20"/>
              </w:rPr>
              <w:t>Fumigation</w:t>
            </w:r>
          </w:p>
        </w:tc>
        <w:tc>
          <w:tcPr>
            <w:tcW w:type="dxa" w:w="4703"/>
            <w:shd w:val="clear" w:color="auto" w:fill="F2F2F2"/>
          </w:tcPr>
          <w:p>
            <w:r>
              <w:rPr>
                <w:sz w:val="20"/>
              </w:rPr>
              <w:t>Methyl bromide or phosphine treatment with DAFF-approved QA certificate</w:t>
            </w:r>
          </w:p>
        </w:tc>
      </w:tr>
      <w:tr>
        <w:tc>
          <w:tcPr>
            <w:tcW w:type="dxa" w:w="4703"/>
          </w:tcPr>
          <w:p>
            <w:r>
              <w:rPr>
                <w:sz w:val="20"/>
              </w:rPr>
              <w:t>Moisture Limits</w:t>
            </w:r>
          </w:p>
        </w:tc>
        <w:tc>
          <w:tcPr>
            <w:tcW w:type="dxa" w:w="4703"/>
          </w:tcPr>
          <w:p>
            <w:r>
              <w:rPr>
                <w:sz w:val="20"/>
              </w:rPr>
              <w:t>Wheat ≤12.5%, barley ≤12%, other grains ≤14% at time of loading</w:t>
            </w:r>
          </w:p>
        </w:tc>
      </w:tr>
      <w:tr>
        <w:tc>
          <w:tcPr>
            <w:tcW w:type="dxa" w:w="4703"/>
            <w:shd w:val="clear" w:color="auto" w:fill="F2F2F2"/>
          </w:tcPr>
          <w:p>
            <w:r>
              <w:rPr>
                <w:sz w:val="20"/>
              </w:rPr>
              <w:t>Weed Seed Tolerance</w:t>
            </w:r>
          </w:p>
        </w:tc>
        <w:tc>
          <w:tcPr>
            <w:tcW w:type="dxa" w:w="4703"/>
            <w:shd w:val="clear" w:color="auto" w:fill="F2F2F2"/>
          </w:tcPr>
          <w:p>
            <w:r>
              <w:rPr>
                <w:sz w:val="20"/>
              </w:rPr>
              <w:t>Zero tolerance for Cuscuta spp. and Ambrosia spp.</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Mark Ellison, as the responsible person for Great Southern Canola Pty Ltd (RE RE-WA-2023-0018),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Mark Ellison</w:t>
            </w:r>
          </w:p>
        </w:tc>
      </w:tr>
      <w:tr>
        <w:tc>
          <w:tcPr>
            <w:tcW w:type="dxa" w:w="2835"/>
            <w:shd w:val="clear" w:color="auto" w:fill="DCE6F1"/>
          </w:tcPr>
          <w:p>
            <w:r>
              <w:rPr>
                <w:b/>
                <w:sz w:val="20"/>
              </w:rPr>
              <w:t>Date</w:t>
            </w:r>
          </w:p>
        </w:tc>
        <w:tc>
          <w:tcPr>
            <w:tcW w:type="dxa" w:w="5669"/>
          </w:tcPr>
          <w:p>
            <w:r>
              <w:rPr>
                <w:sz w:val="20"/>
              </w:rPr>
              <w:t>8 April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