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Ord River Sunflower</w:t>
            </w:r>
          </w:p>
        </w:tc>
      </w:tr>
      <w:tr>
        <w:tc>
          <w:tcPr>
            <w:tcW w:type="dxa" w:w="3118"/>
            <w:shd w:val="clear" w:color="auto" w:fill="DCE6F1"/>
          </w:tcPr>
          <w:p>
            <w:r>
              <w:rPr>
                <w:b/>
                <w:sz w:val="18"/>
              </w:rPr>
              <w:t>RE Number</w:t>
            </w:r>
          </w:p>
        </w:tc>
        <w:tc>
          <w:tcPr>
            <w:tcW w:type="dxa" w:w="6236"/>
          </w:tcPr>
          <w:p>
            <w:r>
              <w:rPr>
                <w:sz w:val="18"/>
              </w:rPr>
              <w:t>RE-WA-2023-0044</w:t>
            </w:r>
          </w:p>
        </w:tc>
      </w:tr>
      <w:tr>
        <w:tc>
          <w:tcPr>
            <w:tcW w:type="dxa" w:w="3118"/>
            <w:shd w:val="clear" w:color="auto" w:fill="DCE6F1"/>
          </w:tcPr>
          <w:p>
            <w:r>
              <w:rPr>
                <w:b/>
                <w:sz w:val="18"/>
              </w:rPr>
              <w:t>State</w:t>
            </w:r>
          </w:p>
        </w:tc>
        <w:tc>
          <w:tcPr>
            <w:tcW w:type="dxa" w:w="6236"/>
            <w:shd w:val="clear" w:color="auto" w:fill="F2F2F2"/>
          </w:tcPr>
          <w:p>
            <w:r>
              <w:rPr>
                <w:sz w:val="18"/>
              </w:rPr>
              <w:t>WA</w:t>
            </w:r>
          </w:p>
        </w:tc>
      </w:tr>
      <w:tr>
        <w:tc>
          <w:tcPr>
            <w:tcW w:type="dxa" w:w="3118"/>
            <w:shd w:val="clear" w:color="auto" w:fill="DCE6F1"/>
          </w:tcPr>
          <w:p>
            <w:r>
              <w:rPr>
                <w:b/>
                <w:sz w:val="18"/>
              </w:rPr>
              <w:t>Property Address</w:t>
            </w:r>
          </w:p>
        </w:tc>
        <w:tc>
          <w:tcPr>
            <w:tcW w:type="dxa" w:w="6236"/>
          </w:tcPr>
          <w:p>
            <w:r>
              <w:rPr>
                <w:sz w:val="18"/>
              </w:rPr>
              <w:t>Lot 3 Weaber Plain Road, Kununurra WA 6743</w:t>
            </w:r>
          </w:p>
        </w:tc>
      </w:tr>
      <w:tr>
        <w:tc>
          <w:tcPr>
            <w:tcW w:type="dxa" w:w="3118"/>
            <w:shd w:val="clear" w:color="auto" w:fill="DCE6F1"/>
          </w:tcPr>
          <w:p>
            <w:r>
              <w:rPr>
                <w:b/>
                <w:sz w:val="18"/>
              </w:rPr>
              <w:t>Registered Commodity</w:t>
            </w:r>
          </w:p>
        </w:tc>
        <w:tc>
          <w:tcPr>
            <w:tcW w:type="dxa" w:w="6236"/>
            <w:shd w:val="clear" w:color="auto" w:fill="F2F2F2"/>
          </w:tcPr>
          <w:p>
            <w:r>
              <w:rPr>
                <w:sz w:val="18"/>
              </w:rPr>
              <w:t>Canola Seed</w:t>
            </w:r>
          </w:p>
        </w:tc>
      </w:tr>
      <w:tr>
        <w:tc>
          <w:tcPr>
            <w:tcW w:type="dxa" w:w="3118"/>
            <w:shd w:val="clear" w:color="auto" w:fill="DCE6F1"/>
          </w:tcPr>
          <w:p>
            <w:r>
              <w:rPr>
                <w:b/>
                <w:sz w:val="18"/>
              </w:rPr>
              <w:t>Map Version</w:t>
            </w:r>
          </w:p>
        </w:tc>
        <w:tc>
          <w:tcPr>
            <w:tcW w:type="dxa" w:w="6236"/>
          </w:tcPr>
          <w:p>
            <w:r>
              <w:rPr>
                <w:sz w:val="18"/>
              </w:rPr>
              <w:t>v4.7</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Site Manager</w:t>
            </w:r>
          </w:p>
        </w:tc>
      </w:tr>
    </w:tbl>
    <w:p/>
    <w:p>
      <w:pPr>
        <w:spacing w:before="200" w:after="60"/>
      </w:pPr>
      <w:r>
        <w:rPr>
          <w:b/>
          <w:color w:val="1F497D"/>
          <w:sz w:val="26"/>
        </w:rPr>
        <w:t>1. Pest Control System Overview</w:t>
      </w:r>
    </w:p>
    <w:p>
      <w:r>
        <w:rPr>
          <w:b w:val="0"/>
          <w:i w:val="0"/>
          <w:sz w:val="18"/>
        </w:rPr>
        <w:t>Integrated pest management applies bird surveillance using 17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Map reference pending</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Ord River Sunflower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