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MANAGEMENSW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Gunnedah Grain Exports</w:t>
            </w:r>
          </w:p>
        </w:tc>
      </w:tr>
      <w:tr>
        <w:tc>
          <w:tcPr>
            <w:tcW w:type="dxa" w:w="3118"/>
            <w:shd w:val="clear" w:color="auto" w:fill="DCE6F1"/>
            <w:vAlign w:val="center"/>
          </w:tcPr>
          <w:p>
            <w:r>
              <w:rPr>
                <w:b/>
                <w:sz w:val="18"/>
              </w:rPr>
              <w:t>RE Number</w:t>
            </w:r>
          </w:p>
        </w:tc>
        <w:tc>
          <w:tcPr>
            <w:tcW w:type="dxa" w:w="6236"/>
            <w:vAlign w:val="center"/>
          </w:tcPr>
          <w:p>
            <w:r>
              <w:rPr>
                <w:sz w:val="18"/>
              </w:rPr>
              <w:t>RE-NSW-2020-0088</w:t>
            </w:r>
          </w:p>
        </w:tc>
      </w:tr>
      <w:tr>
        <w:tc>
          <w:tcPr>
            <w:tcW w:type="dxa" w:w="3118"/>
            <w:shd w:val="clear" w:color="auto" w:fill="DCE6F1"/>
            <w:vAlign w:val="center"/>
          </w:tcPr>
          <w:p>
            <w:r>
              <w:rPr>
                <w:b/>
                <w:sz w:val="18"/>
              </w:rPr>
              <w:t>State / Territory</w:t>
            </w:r>
          </w:p>
        </w:tc>
        <w:tc>
          <w:tcPr>
            <w:tcW w:type="dxa" w:w="6236"/>
            <w:vAlign w:val="center"/>
          </w:tcPr>
          <w:p>
            <w:r>
              <w:rPr>
                <w:sz w:val="18"/>
              </w:rPr>
              <w:t>NSW</w:t>
            </w:r>
          </w:p>
        </w:tc>
      </w:tr>
      <w:tr>
        <w:tc>
          <w:tcPr>
            <w:tcW w:type="dxa" w:w="3118"/>
            <w:shd w:val="clear" w:color="auto" w:fill="DCE6F1"/>
            <w:vAlign w:val="center"/>
          </w:tcPr>
          <w:p>
            <w:r>
              <w:rPr>
                <w:b/>
                <w:sz w:val="18"/>
              </w:rPr>
              <w:t>Property Address</w:t>
            </w:r>
          </w:p>
        </w:tc>
        <w:tc>
          <w:tcPr>
            <w:tcW w:type="dxa" w:w="6236"/>
            <w:vAlign w:val="center"/>
          </w:tcPr>
          <w:p>
            <w:r>
              <w:rPr>
                <w:sz w:val="18"/>
              </w:rPr>
              <w:t>67 Oxley Highway, Gunnedah NSW 2380</w:t>
            </w:r>
          </w:p>
        </w:tc>
      </w:tr>
      <w:tr>
        <w:tc>
          <w:tcPr>
            <w:tcW w:type="dxa" w:w="3118"/>
            <w:shd w:val="clear" w:color="auto" w:fill="DCE6F1"/>
            <w:vAlign w:val="center"/>
          </w:tcPr>
          <w:p>
            <w:r>
              <w:rPr>
                <w:b/>
                <w:sz w:val="18"/>
              </w:rPr>
              <w:t>Registered Commodity</w:t>
            </w:r>
          </w:p>
        </w:tc>
        <w:tc>
          <w:tcPr>
            <w:tcW w:type="dxa" w:w="6236"/>
            <w:vAlign w:val="center"/>
          </w:tcPr>
          <w:p>
            <w:r>
              <w:rPr>
                <w:sz w:val="18"/>
              </w:rPr>
              <w:t>Cotton</w:t>
            </w:r>
          </w:p>
        </w:tc>
      </w:tr>
      <w:tr>
        <w:tc>
          <w:tcPr>
            <w:tcW w:type="dxa" w:w="3118"/>
            <w:shd w:val="clear" w:color="auto" w:fill="DCE6F1"/>
            <w:vAlign w:val="center"/>
          </w:tcPr>
          <w:p>
            <w:r>
              <w:rPr>
                <w:b/>
                <w:sz w:val="18"/>
              </w:rPr>
              <w:t>Responsible Officer</w:t>
            </w:r>
          </w:p>
        </w:tc>
        <w:tc>
          <w:tcPr>
            <w:tcW w:type="dxa" w:w="6236"/>
            <w:vAlign w:val="center"/>
          </w:tcPr>
          <w:p>
            <w:r>
              <w:rPr>
                <w:sz w:val="18"/>
              </w:rPr>
              <w:t>Nathan Cross</w:t>
            </w:r>
          </w:p>
        </w:tc>
      </w:tr>
      <w:tr>
        <w:tc>
          <w:tcPr>
            <w:tcW w:type="dxa" w:w="3118"/>
            <w:shd w:val="clear" w:color="auto" w:fill="DCE6F1"/>
            <w:vAlign w:val="center"/>
          </w:tcPr>
          <w:p>
            <w:r>
              <w:rPr>
                <w:b/>
                <w:sz w:val="18"/>
              </w:rPr>
              <w:t>Property Area</w:t>
            </w:r>
          </w:p>
        </w:tc>
        <w:tc>
          <w:tcPr>
            <w:tcW w:type="dxa" w:w="6236"/>
            <w:vAlign w:val="center"/>
          </w:tcPr>
          <w:p>
            <w:r>
              <w:rPr>
                <w:sz w:val="18"/>
              </w:rPr>
              <w:t>4500.0 ha</w:t>
            </w:r>
          </w:p>
        </w:tc>
      </w:tr>
      <w:tr>
        <w:tc>
          <w:tcPr>
            <w:tcW w:type="dxa" w:w="3118"/>
            <w:shd w:val="clear" w:color="auto" w:fill="DCE6F1"/>
            <w:vAlign w:val="center"/>
          </w:tcPr>
          <w:p>
            <w:r>
              <w:rPr>
                <w:b/>
                <w:sz w:val="18"/>
              </w:rPr>
              <w:t>Year Established</w:t>
            </w:r>
          </w:p>
        </w:tc>
        <w:tc>
          <w:tcPr>
            <w:tcW w:type="dxa" w:w="6236"/>
            <w:vAlign w:val="center"/>
          </w:tcPr>
          <w:p>
            <w:r>
              <w:rPr>
                <w:sz w:val="18"/>
              </w:rPr>
              <w:t>2016</w:t>
            </w:r>
          </w:p>
        </w:tc>
      </w:tr>
      <w:tr>
        <w:tc>
          <w:tcPr>
            <w:tcW w:type="dxa" w:w="3118"/>
            <w:shd w:val="clear" w:color="auto" w:fill="DCE6F1"/>
            <w:vAlign w:val="center"/>
          </w:tcPr>
          <w:p>
            <w:r>
              <w:rPr>
                <w:b/>
                <w:sz w:val="18"/>
              </w:rPr>
              <w:t>Document Version</w:t>
            </w:r>
          </w:p>
        </w:tc>
        <w:tc>
          <w:tcPr>
            <w:tcW w:type="dxa" w:w="6236"/>
            <w:vAlign w:val="center"/>
          </w:tcPr>
          <w:p>
            <w:r>
              <w:rPr>
                <w:sz w:val="18"/>
              </w:rPr>
              <w:t>2.4</w:t>
            </w:r>
          </w:p>
        </w:tc>
      </w:tr>
      <w:tr>
        <w:tc>
          <w:tcPr>
            <w:tcW w:type="dxa" w:w="3118"/>
            <w:shd w:val="clear" w:color="auto" w:fill="DCE6F1"/>
            <w:vAlign w:val="center"/>
          </w:tcPr>
          <w:p>
            <w:r>
              <w:rPr>
                <w:b/>
                <w:sz w:val="18"/>
              </w:rPr>
              <w:t>Plan Date</w:t>
            </w:r>
          </w:p>
        </w:tc>
        <w:tc>
          <w:tcPr>
            <w:tcW w:type="dxa" w:w="6236"/>
            <w:vAlign w:val="center"/>
          </w:tcPr>
          <w:p>
            <w:r>
              <w:rPr>
                <w:sz w:val="18"/>
              </w:rPr>
              <w:t>16 May 2024</w:t>
            </w:r>
          </w:p>
        </w:tc>
      </w:tr>
      <w:tr>
        <w:tc>
          <w:tcPr>
            <w:tcW w:type="dxa" w:w="3118"/>
            <w:shd w:val="clear" w:color="auto" w:fill="DCE6F1"/>
            <w:vAlign w:val="center"/>
          </w:tcPr>
          <w:p>
            <w:r>
              <w:rPr>
                <w:b/>
                <w:sz w:val="18"/>
              </w:rPr>
              <w:t>Next Review</w:t>
            </w:r>
          </w:p>
        </w:tc>
        <w:tc>
          <w:tcPr>
            <w:tcW w:type="dxa" w:w="6236"/>
            <w:vAlign w:val="center"/>
          </w:tcPr>
          <w:p>
            <w:r>
              <w:rPr>
                <w:sz w:val="18"/>
              </w:rPr>
              <w:t>16 May 2026</w:t>
            </w:r>
          </w:p>
        </w:tc>
      </w:tr>
    </w:tbl>
    <w:p/>
    <w:p>
      <w:pPr>
        <w:pStyle w:val="Heading1"/>
      </w:pPr>
      <w:r>
        <w:rPr>
          <w:color w:val="1F497D"/>
        </w:rPr>
        <w:t>1.  OVERVIEW</w:t>
      </w:r>
    </w:p>
    <w:p>
      <w:r>
        <w:rPr>
          <w:b w:val="0"/>
          <w:i w:val="0"/>
          <w:sz w:val="20"/>
        </w:rPr>
        <w:t>Gunnedah Grain Exports is a registered export establishment located at 67 Oxley Highway, Gunnedah NSW 2380, NSW. The establishment holds RE Number RE-NSW-2020-0088 and is registered to handle and export Cotton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RB</w:t>
            </w:r>
          </w:p>
        </w:tc>
        <w:tc>
          <w:tcPr>
            <w:tcW w:type="dxa" w:w="3118"/>
            <w:shd w:val="clear" w:color="auto" w:fill="FFFFFF"/>
            <w:vAlign w:val="center"/>
          </w:tcPr>
          <w:p>
            <w:r>
              <w:rPr>
                <w:sz w:val="18"/>
              </w:rPr>
              <w:t>Receival &amp; Processing Building</w:t>
            </w:r>
          </w:p>
        </w:tc>
        <w:tc>
          <w:tcPr>
            <w:tcW w:type="dxa" w:w="1587"/>
            <w:shd w:val="clear" w:color="auto" w:fill="FFFFFF"/>
            <w:vAlign w:val="center"/>
          </w:tcPr>
          <w:p>
            <w:r>
              <w:rPr>
                <w:sz w:val="18"/>
              </w:rPr>
              <w:t>60×25 m</w:t>
            </w:r>
          </w:p>
        </w:tc>
        <w:tc>
          <w:tcPr>
            <w:tcW w:type="dxa" w:w="1984"/>
            <w:shd w:val="clear" w:color="auto" w:fill="FFFFFF"/>
            <w:vAlign w:val="center"/>
          </w:tcPr>
          <w:p>
            <w:r>
              <w:rPr>
                <w:sz w:val="18"/>
              </w:rPr>
              <w:t>Steel/concrete</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S1–S8</w:t>
            </w:r>
          </w:p>
        </w:tc>
        <w:tc>
          <w:tcPr>
            <w:tcW w:type="dxa" w:w="3118"/>
            <w:shd w:val="clear" w:color="auto" w:fill="F2F2F2"/>
            <w:vAlign w:val="center"/>
          </w:tcPr>
          <w:p>
            <w:r>
              <w:rPr>
                <w:sz w:val="18"/>
              </w:rPr>
              <w:t>Storage Bins</w:t>
            </w:r>
          </w:p>
        </w:tc>
        <w:tc>
          <w:tcPr>
            <w:tcW w:type="dxa" w:w="1587"/>
            <w:shd w:val="clear" w:color="auto" w:fill="F2F2F2"/>
            <w:vAlign w:val="center"/>
          </w:tcPr>
          <w:p>
            <w:r>
              <w:rPr>
                <w:sz w:val="18"/>
              </w:rPr>
              <w:t>Dia. 14 m</w:t>
            </w:r>
          </w:p>
        </w:tc>
        <w:tc>
          <w:tcPr>
            <w:tcW w:type="dxa" w:w="1984"/>
            <w:shd w:val="clear" w:color="auto" w:fill="F2F2F2"/>
            <w:vAlign w:val="center"/>
          </w:tcPr>
          <w:p>
            <w:r>
              <w:rPr>
                <w:sz w:val="18"/>
              </w:rPr>
              <w:t>Galv. steel</w:t>
            </w:r>
          </w:p>
        </w:tc>
        <w:tc>
          <w:tcPr>
            <w:tcW w:type="dxa" w:w="2381"/>
            <w:shd w:val="clear" w:color="auto" w:fill="F2F2F2"/>
            <w:vAlign w:val="center"/>
          </w:tcPr>
          <w:p>
            <w:r>
              <w:rPr>
                <w:sz w:val="18"/>
              </w:rPr>
              <w:t>South cluster</w:t>
            </w:r>
          </w:p>
        </w:tc>
      </w:tr>
      <w:tr>
        <w:tc>
          <w:tcPr>
            <w:tcW w:type="dxa" w:w="850"/>
            <w:shd w:val="clear" w:color="auto" w:fill="FFFFFF"/>
            <w:vAlign w:val="center"/>
          </w:tcPr>
          <w:p>
            <w:r>
              <w:rPr>
                <w:sz w:val="18"/>
              </w:rPr>
              <w:t>PL</w:t>
            </w:r>
          </w:p>
        </w:tc>
        <w:tc>
          <w:tcPr>
            <w:tcW w:type="dxa" w:w="3118"/>
            <w:shd w:val="clear" w:color="auto" w:fill="FFFFFF"/>
            <w:vAlign w:val="center"/>
          </w:tcPr>
          <w:p>
            <w:r>
              <w:rPr>
                <w:sz w:val="18"/>
              </w:rPr>
              <w:t>Packing &amp; Dispatch Shed</w:t>
            </w:r>
          </w:p>
        </w:tc>
        <w:tc>
          <w:tcPr>
            <w:tcW w:type="dxa" w:w="1587"/>
            <w:shd w:val="clear" w:color="auto" w:fill="FFFFFF"/>
            <w:vAlign w:val="center"/>
          </w:tcPr>
          <w:p>
            <w:r>
              <w:rPr>
                <w:sz w:val="18"/>
              </w:rPr>
              <w:t>35×20 m</w:t>
            </w:r>
          </w:p>
        </w:tc>
        <w:tc>
          <w:tcPr>
            <w:tcW w:type="dxa" w:w="1984"/>
            <w:shd w:val="clear" w:color="auto" w:fill="FFFFFF"/>
            <w:vAlign w:val="center"/>
          </w:tcPr>
          <w:p>
            <w:r>
              <w:rPr>
                <w:sz w:val="18"/>
              </w:rPr>
              <w:t>Tilt-up concrete</w:t>
            </w:r>
          </w:p>
        </w:tc>
        <w:tc>
          <w:tcPr>
            <w:tcW w:type="dxa" w:w="2381"/>
            <w:shd w:val="clear" w:color="auto" w:fill="FFFFFF"/>
            <w:vAlign w:val="center"/>
          </w:tcPr>
          <w:p>
            <w:r>
              <w:rPr>
                <w:sz w:val="18"/>
              </w:rPr>
              <w:t>SE corner</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9×5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RB</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6×4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NW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room</w:t>
            </w:r>
          </w:p>
        </w:tc>
        <w:tc>
          <w:tcPr>
            <w:tcW w:type="dxa" w:w="2381"/>
            <w:shd w:val="clear" w:color="auto" w:fill="F2F2F2"/>
            <w:vAlign w:val="center"/>
          </w:tcPr>
          <w:p>
            <w:r>
              <w:rPr>
                <w:sz w:val="18"/>
              </w:rPr>
              <w:t>RB north end</w:t>
            </w:r>
          </w:p>
        </w:tc>
      </w:tr>
    </w:tbl>
    <w:p/>
    <w:p>
      <w:pPr>
        <w:pStyle w:val="Heading1"/>
      </w:pPr>
      <w:r>
        <w:rPr>
          <w:color w:val="1F497D"/>
        </w:rPr>
        <w:t>3.  EQUIPMENSW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Receival pit and elevator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Primary receival</w:t>
            </w:r>
          </w:p>
        </w:tc>
      </w:tr>
      <w:tr>
        <w:tc>
          <w:tcPr>
            <w:tcW w:type="dxa" w:w="3685"/>
            <w:shd w:val="clear" w:color="auto" w:fill="F2F2F2"/>
            <w:vAlign w:val="center"/>
          </w:tcPr>
          <w:p>
            <w:r>
              <w:rPr>
                <w:sz w:val="18"/>
              </w:rPr>
              <w:t>Cleaning and separation unit</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Drying system</w:t>
            </w:r>
          </w:p>
        </w:tc>
        <w:tc>
          <w:tcPr>
            <w:tcW w:type="dxa" w:w="1984"/>
            <w:shd w:val="clear" w:color="auto" w:fill="FFFFFF"/>
            <w:vAlign w:val="center"/>
          </w:tcPr>
          <w:p>
            <w:r>
              <w:rPr>
                <w:sz w:val="18"/>
              </w:rPr>
              <w:t>continuous-flow</w:t>
            </w:r>
          </w:p>
        </w:tc>
        <w:tc>
          <w:tcPr>
            <w:tcW w:type="dxa" w:w="4252"/>
            <w:shd w:val="clear" w:color="auto" w:fill="FFFFFF"/>
            <w:vAlign w:val="center"/>
          </w:tcPr>
          <w:p>
            <w:r>
              <w:rPr>
                <w:sz w:val="18"/>
              </w:rPr>
              <w:t>Moisture reduction</w:t>
            </w:r>
          </w:p>
        </w:tc>
      </w:tr>
      <w:tr>
        <w:tc>
          <w:tcPr>
            <w:tcW w:type="dxa" w:w="3685"/>
            <w:shd w:val="clear" w:color="auto" w:fill="F2F2F2"/>
            <w:vAlign w:val="center"/>
          </w:tcPr>
          <w:p>
            <w:r>
              <w:rPr>
                <w:sz w:val="18"/>
              </w:rPr>
              <w:t>Packing/bagging line</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preparation</w:t>
            </w:r>
          </w:p>
        </w:tc>
      </w:tr>
      <w:tr>
        <w:tc>
          <w:tcPr>
            <w:tcW w:type="dxa" w:w="3685"/>
            <w:shd w:val="clear" w:color="auto" w:fill="FFFFFF"/>
            <w:vAlign w:val="center"/>
          </w:tcPr>
          <w:p>
            <w:r>
              <w:rPr>
                <w:sz w:val="18"/>
              </w:rPr>
              <w:t>Weighing system</w:t>
            </w:r>
          </w:p>
        </w:tc>
        <w:tc>
          <w:tcPr>
            <w:tcW w:type="dxa" w:w="1984"/>
            <w:shd w:val="clear" w:color="auto" w:fill="FFFFFF"/>
            <w:vAlign w:val="center"/>
          </w:tcPr>
          <w:p>
            <w:r>
              <w:rPr>
                <w:sz w:val="18"/>
              </w:rPr>
              <w:t>In-line</w:t>
            </w:r>
          </w:p>
        </w:tc>
        <w:tc>
          <w:tcPr>
            <w:tcW w:type="dxa" w:w="4252"/>
            <w:shd w:val="clear" w:color="auto" w:fill="FFFFFF"/>
            <w:vAlign w:val="center"/>
          </w:tcPr>
          <w:p>
            <w:r>
              <w:rPr>
                <w:sz w:val="18"/>
              </w:rPr>
              <w:t>Lot verification</w:t>
            </w:r>
          </w:p>
        </w:tc>
      </w:tr>
      <w:tr>
        <w:tc>
          <w:tcPr>
            <w:tcW w:type="dxa" w:w="3685"/>
            <w:shd w:val="clear" w:color="auto" w:fill="F2F2F2"/>
            <w:vAlign w:val="center"/>
          </w:tcPr>
          <w:p>
            <w:r>
              <w:rPr>
                <w:sz w:val="18"/>
              </w:rPr>
              <w:t>In-line quality sampler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Representative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Cotton.</w:t>
      </w:r>
    </w:p>
    <w:p>
      <w:pPr>
        <w:pStyle w:val="Heading2"/>
      </w:pPr>
      <w:r>
        <w:t>4.2  Lighting (C2)</w:t>
      </w:r>
    </w:p>
    <w:p>
      <w:r>
        <w:rPr>
          <w:b w:val="0"/>
          <w:i w:val="0"/>
          <w:sz w:val="20"/>
        </w:rPr>
        <w:t>LED panel lighting installed 2019: 550 lux (processing), 440 lux (storage), 418 lux (load-out). IP65-rated food-grade fittings. Annual lux-level verification by licensed electrician.</w:t>
      </w:r>
    </w:p>
    <w:p>
      <w:pPr>
        <w:pStyle w:val="Heading2"/>
      </w:pPr>
      <w:r>
        <w:t>4.3  Handwashing and Toilet Facilities (C3)</w:t>
      </w:r>
    </w:p>
    <w:p>
      <w:r>
        <w:rPr>
          <w:b w:val="0"/>
          <w:i w:val="0"/>
          <w:sz w:val="20"/>
        </w:rPr>
        <w:t>Amenities block within 20 m of processing floor: 2 toilets, 2 hand basins hot/cold water, liquid soap, paper towels. Separate no-touch basin and hand sanitiser dispenser installed at cool store/packing area access point, as required by site hygiene protocol.</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All product-contact and grain-contact surfaces are smooth, non-porous and cleanable: 3-coat epoxy floor system; FRP (fibreglass-reinforced panel) wall linings to 2.7 m; stainless-steel equipment internals. Conveyor and auger housings have hinged access panels. Full washdown of product-contact surfaces required between commodity lots per cleaning SOP.</w:t>
      </w:r>
    </w:p>
    <w:p>
      <w:pPr>
        <w:pStyle w:val="Heading2"/>
      </w:pPr>
      <w:r>
        <w:t>5.2  Contamination and Pest Harbourage Minimisation (C5)</w:t>
      </w:r>
    </w:p>
    <w:p>
      <w:r>
        <w:rPr>
          <w:b w:val="0"/>
          <w:i w:val="0"/>
          <w:sz w:val="20"/>
        </w:rPr>
        <w:t>Design features minimising pest entry: smooth wall surfaces; all roof-wall junctions factory-sealed; cable/pipe penetrations sealed with food-grade silicone; 6 mm mesh on all fixed ventilation louvres; self-closing personnel doors with magnetic seals; roller doors serviced annually to maintain threshold seal integrity; no open drainage channels.</w:t>
      </w:r>
    </w:p>
    <w:p>
      <w:pPr>
        <w:pStyle w:val="Heading2"/>
      </w:pPr>
      <w:r>
        <w:t>5.3  Waste Disposal Design (C6)</w:t>
      </w:r>
    </w:p>
    <w:p>
      <w:r>
        <w:rPr>
          <w:b w:val="0"/>
          <w:i w:val="0"/>
          <w:sz w:val="20"/>
        </w:rPr>
        <w:t>Contained waste management infrastructure: liquid drains to bunded sump (4000 L) outside the processing building; solid waste in sealed wheeled bins with lids; external waste bay roofed and bunded on three sides with 300 mm concrete kerb and sealed slab. Organic waste composted in covered bay 50 m from processing. No open waste storage areas.</w:t>
      </w:r>
    </w:p>
    <w:p/>
    <w:p>
      <w:pPr>
        <w:pStyle w:val="Heading1"/>
      </w:pPr>
      <w:r>
        <w:rPr>
          <w:color w:val="1F497D"/>
        </w:rPr>
        <w:t>6.  WASTE MANAGEMENSW SYSTEM</w:t>
      </w:r>
    </w:p>
    <w:p>
      <w:r>
        <w:rPr>
          <w:i/>
          <w:color w:val="555555"/>
          <w:sz w:val="18"/>
        </w:rPr>
        <w:t>Rules s4-7A(2)(a) — Element 3.1 checking point C7</w:t>
      </w:r>
    </w:p>
    <w:p>
      <w:pPr>
        <w:pStyle w:val="Heading2"/>
      </w:pPr>
      <w:r>
        <w:t>6.1  Waste Management Procedures (C7)</w:t>
      </w:r>
    </w:p>
    <w:p>
      <w:r>
        <w:rPr>
          <w:b w:val="0"/>
          <w:i w:val="0"/>
          <w:sz w:val="20"/>
        </w:rPr>
        <w:t>Establishment Waste Management Plan (EWMP v3.0, reviewed October 2025): details procedures for all waste streams — product spillage, packaging, liquid washdown, chemical containers and dust. Scheduled tasks on daily operations checklist, signed off by shift supervisor. Records retained 3 years minimum.</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Product waste and screenings</w:t>
            </w:r>
          </w:p>
        </w:tc>
        <w:tc>
          <w:tcPr>
            <w:tcW w:type="dxa" w:w="4252"/>
            <w:shd w:val="clear" w:color="auto" w:fill="FFFFFF"/>
            <w:vAlign w:val="center"/>
          </w:tcPr>
          <w:p>
            <w:r>
              <w:rPr>
                <w:sz w:val="18"/>
              </w:rPr>
              <w:t>Collection hoppers under cleaning unit</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Bag filter or cyclone</w:t>
            </w:r>
          </w:p>
        </w:tc>
        <w:tc>
          <w:tcPr>
            <w:tcW w:type="dxa" w:w="2835"/>
            <w:shd w:val="clear" w:color="auto" w:fill="F2F2F2"/>
            <w:vAlign w:val="center"/>
          </w:tcPr>
          <w:p>
            <w:r>
              <w:rPr>
                <w:sz w:val="18"/>
              </w:rPr>
              <w:t>Fortnightly</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Drains → contained sump</w:t>
            </w:r>
          </w:p>
        </w:tc>
        <w:tc>
          <w:tcPr>
            <w:tcW w:type="dxa" w:w="2835"/>
            <w:shd w:val="clear" w:color="auto" w:fill="FFFFFF"/>
            <w:vAlign w:val="center"/>
          </w:tcPr>
          <w:p>
            <w:r>
              <w:rPr>
                <w:sz w:val="18"/>
              </w:rPr>
              <w:t>Weekly</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Covered skip</w:t>
            </w:r>
          </w:p>
        </w:tc>
        <w:tc>
          <w:tcPr>
            <w:tcW w:type="dxa" w:w="2835"/>
            <w:shd w:val="clear" w:color="auto" w:fill="F2F2F2"/>
            <w:vAlign w:val="center"/>
          </w:tcPr>
          <w:p>
            <w:r>
              <w:rPr>
                <w:sz w:val="18"/>
              </w:rPr>
              <w:t>Fortnightly contractor</w:t>
            </w:r>
          </w:p>
        </w:tc>
      </w:tr>
    </w:tbl>
    <w:p/>
    <w:p>
      <w:pPr>
        <w:pStyle w:val="Heading1"/>
      </w:pPr>
      <w:r>
        <w:rPr>
          <w:color w:val="1F497D"/>
        </w:rPr>
        <w:t>7.  ESTABLISHMENSW CONDITION</w:t>
      </w:r>
    </w:p>
    <w:p>
      <w:r>
        <w:rPr>
          <w:i/>
          <w:color w:val="555555"/>
          <w:sz w:val="18"/>
        </w:rPr>
        <w:t>Rules s4-6 — Element 3.4 (C8) and Element 3.5 (C9)</w:t>
      </w:r>
    </w:p>
    <w:p>
      <w:pPr>
        <w:pStyle w:val="Heading2"/>
      </w:pPr>
      <w:r>
        <w:t>7.1  Hygiene and Cleanliness (C8)</w:t>
      </w:r>
    </w:p>
    <w:p>
      <w:r>
        <w:rPr>
          <w:b w:val="0"/>
          <w:i w:val="0"/>
          <w:sz w:val="20"/>
        </w:rPr>
        <w:t>The establishment is maintained in a clean and hygienic condition appropriate for export of Cotton. All product-contact surfaces are cleaned between commodity lots using the documented cleaning procedure. Non-product-contact surfaces cleaned on a 4-weekly schedule. No hygiene deficiencies at most recent inspection.</w:t>
      </w:r>
    </w:p>
    <w:p>
      <w:pPr>
        <w:pStyle w:val="Heading2"/>
      </w:pPr>
      <w:r>
        <w:t>7.2  Pest Condition (C9)</w:t>
      </w:r>
    </w:p>
    <w:p>
      <w:r>
        <w:rPr>
          <w:b w:val="0"/>
          <w:i w:val="0"/>
          <w:sz w:val="20"/>
        </w:rPr>
        <w:t>Pest condition assessment: Rodents: nil evidence in 6 months of monitoring. Grain insects: probe samples from all storage negative for live insects. Birds: no evidence of access to grain-contact areas. Last licensed fumigation: December 2024.</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Power and Water Corp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bore water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Nathan Cross</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16 May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