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NSWNITATION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Gunnedah Grain Exports</w:t>
            </w:r>
          </w:p>
        </w:tc>
      </w:tr>
      <w:tr>
        <w:tc>
          <w:tcPr>
            <w:tcW w:type="dxa" w:w="4536"/>
            <w:shd w:val="clear" w:color="auto" w:fill="1F497D"/>
            <w:vAlign w:val="center"/>
          </w:tcPr>
          <w:p>
            <w:r>
              <w:rPr>
                <w:b/>
                <w:color w:val="FFFFFF"/>
                <w:sz w:val="18"/>
              </w:rPr>
              <w:t>RE Number</w:t>
            </w:r>
          </w:p>
        </w:tc>
        <w:tc>
          <w:tcPr>
            <w:tcW w:type="dxa" w:w="4536"/>
          </w:tcPr>
          <w:p>
            <w:r>
              <w:rPr>
                <w:sz w:val="18"/>
              </w:rPr>
              <w:t>RE-NSW-2020-0088</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67 Oxley Highway, Gunnedah NSW 2380</w:t>
            </w:r>
          </w:p>
        </w:tc>
      </w:tr>
      <w:tr>
        <w:tc>
          <w:tcPr>
            <w:tcW w:type="dxa" w:w="4536"/>
            <w:shd w:val="clear" w:color="auto" w:fill="1F497D"/>
            <w:vAlign w:val="center"/>
          </w:tcPr>
          <w:p>
            <w:r>
              <w:rPr>
                <w:b/>
                <w:color w:val="FFFFFF"/>
                <w:sz w:val="18"/>
              </w:rPr>
              <w:t>Registered Commodity</w:t>
            </w:r>
          </w:p>
        </w:tc>
        <w:tc>
          <w:tcPr>
            <w:tcW w:type="dxa" w:w="4536"/>
          </w:tcPr>
          <w:p>
            <w:r>
              <w:rPr>
                <w:sz w:val="18"/>
              </w:rPr>
              <w:t>Almonds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Elise Maurer</w:t>
            </w:r>
          </w:p>
        </w:tc>
      </w:tr>
      <w:tr>
        <w:tc>
          <w:tcPr>
            <w:tcW w:type="dxa" w:w="4536"/>
            <w:shd w:val="clear" w:color="auto" w:fill="1F497D"/>
            <w:vAlign w:val="center"/>
          </w:tcPr>
          <w:p>
            <w:r>
              <w:rPr>
                <w:b/>
                <w:color w:val="FFFFFF"/>
                <w:sz w:val="18"/>
              </w:rPr>
              <w:t>Property Area</w:t>
            </w:r>
          </w:p>
        </w:tc>
        <w:tc>
          <w:tcPr>
            <w:tcW w:type="dxa" w:w="4536"/>
          </w:tcPr>
          <w:p>
            <w:r>
              <w:rPr>
                <w:sz w:val="18"/>
              </w:rPr>
              <w:t>130.0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28 March 2025</w:t>
            </w:r>
          </w:p>
        </w:tc>
      </w:tr>
      <w:tr>
        <w:tc>
          <w:tcPr>
            <w:tcW w:type="dxa" w:w="4536"/>
            <w:shd w:val="clear" w:color="auto" w:fill="1F497D"/>
            <w:vAlign w:val="center"/>
          </w:tcPr>
          <w:p>
            <w:r>
              <w:rPr>
                <w:b/>
                <w:color w:val="FFFFFF"/>
                <w:sz w:val="18"/>
              </w:rPr>
              <w:t>Next Review</w:t>
            </w:r>
          </w:p>
        </w:tc>
        <w:tc>
          <w:tcPr>
            <w:tcW w:type="dxa" w:w="4536"/>
          </w:tcPr>
          <w:p>
            <w:r>
              <w:rPr>
                <w:sz w:val="18"/>
              </w:rPr>
              <w:t>28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Refer to the establishment's General Food Safety and Quality Manual (Section 3) for standard cleaning and hygiene procedures. Establishment-specific adaptations are applied at the discretion of the site manager.</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Almonds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Elise Maurer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All areas</w:t>
            </w:r>
          </w:p>
        </w:tc>
        <w:tc>
          <w:tcPr>
            <w:tcW w:type="dxa" w:w="1512"/>
            <w:shd w:val="clear" w:color="auto" w:fill="FFFFFF"/>
            <w:vAlign w:val="top"/>
            <w:tcW w:w="1417" w:type="dxa"/>
          </w:tcPr>
          <w:p>
            <w:r>
              <w:rPr>
                <w:sz w:val="18"/>
              </w:rPr>
              <w:t>See Company Manual Ch. 3</w:t>
            </w:r>
          </w:p>
        </w:tc>
        <w:tc>
          <w:tcPr>
            <w:tcW w:type="dxa" w:w="1512"/>
            <w:shd w:val="clear" w:color="auto" w:fill="FFFFFF"/>
            <w:vAlign w:val="top"/>
            <w:tcW w:w="3118" w:type="dxa"/>
          </w:tcPr>
          <w:p>
            <w:r>
              <w:rPr>
                <w:sz w:val="18"/>
              </w:rPr>
              <w:t>Follow standard procedures in Food Safety and Quality Manual. Apply to all areas of the establishment.</w:t>
            </w:r>
          </w:p>
        </w:tc>
        <w:tc>
          <w:tcPr>
            <w:tcW w:type="dxa" w:w="1512"/>
            <w:shd w:val="clear" w:color="auto" w:fill="FFFFFF"/>
            <w:vAlign w:val="top"/>
            <w:tcW w:w="1814" w:type="dxa"/>
          </w:tcPr>
          <w:p>
            <w:r>
              <w:rPr>
                <w:sz w:val="18"/>
              </w:rPr>
              <w:t>See Manual</w:t>
            </w:r>
          </w:p>
        </w:tc>
        <w:tc>
          <w:tcPr>
            <w:tcW w:type="dxa" w:w="1512"/>
            <w:shd w:val="clear" w:color="auto" w:fill="FFFFFF"/>
            <w:vAlign w:val="top"/>
            <w:tcW w:w="1587" w:type="dxa"/>
          </w:tcPr>
          <w:p>
            <w:r>
              <w:rPr>
                <w:sz w:val="18"/>
              </w:rPr>
              <w:t>Designated staff</w:t>
            </w:r>
          </w:p>
        </w:tc>
        <w:tc>
          <w:tcPr>
            <w:tcW w:type="dxa" w:w="1512"/>
            <w:shd w:val="clear" w:color="auto" w:fill="FFFFFF"/>
            <w:vAlign w:val="top"/>
            <w:tcW w:w="1530" w:type="dxa"/>
          </w:tcPr>
          <w:p>
            <w:r>
              <w:rPr>
                <w:sz w:val="18"/>
              </w:rPr>
              <w:t>Manual sign-off form</w:t>
            </w:r>
          </w:p>
        </w:tc>
      </w:tr>
    </w:tbl>
    <w:p/>
    <w:p>
      <w:pPr>
        <w:pStyle w:val="Heading1"/>
      </w:pPr>
      <w:r>
        <w:rPr>
          <w:color w:val="1F497D"/>
        </w:rPr>
        <w:t>5.  AREA-SPECIFIC CLEANING PROCEDURES (SOPs)</w:t>
      </w:r>
    </w:p>
    <w:p>
      <w:r>
        <w:rPr>
          <w:i/>
          <w:color w:val="555555"/>
          <w:sz w:val="18"/>
        </w:rPr>
        <w:t>Detailed step-by-step procedures for each area of the establishment</w:t>
      </w:r>
    </w:p>
    <w:p/>
    <w:p>
      <w:r>
        <w:rPr>
          <w:b w:val="0"/>
          <w:i w:val="0"/>
          <w:sz w:val="20"/>
        </w:rPr>
        <w:t>Detailed area procedures are provided verbally by the supervisor or are contained in the General Hygiene Manual.</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Gunnedah Grain Exports completed on 28 March 2025. All areas assessed as compliant with the hygiene standards required for the export of Almonds. Cleaning logs current and records up to date.</w:t>
      </w:r>
    </w:p>
    <w:p/>
    <w:p>
      <w:pPr>
        <w:pStyle w:val="Heading1"/>
      </w:pPr>
      <w:r>
        <w:rPr>
          <w:color w:val="1F497D"/>
        </w:rPr>
        <w:t>12.  REVIEW AND AUTHORINSWTION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Elise Maurer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28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28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