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RE-NSW-2022-0055</w:t>
            </w:r>
          </w:p>
        </w:tc>
      </w:tr>
      <w:tr>
        <w:tc>
          <w:tcPr>
            <w:tcW w:type="dxa" w:w="2835"/>
            <w:shd w:val="clear" w:color="auto" w:fill="DCE6F1"/>
          </w:tcPr>
          <w:p>
            <w:r>
              <w:rPr>
                <w:b/>
                <w:sz w:val="20"/>
              </w:rPr>
              <w:t>Application Type</w:t>
            </w:r>
          </w:p>
        </w:tc>
        <w:tc>
          <w:tcPr>
            <w:tcW w:type="dxa" w:w="5669"/>
          </w:tcPr>
          <w:p>
            <w:r>
              <w:rPr>
                <w:sz w:val="20"/>
              </w:rPr>
              <w:t>Renewal</w:t>
            </w:r>
          </w:p>
        </w:tc>
      </w:tr>
      <w:tr>
        <w:tc>
          <w:tcPr>
            <w:tcW w:type="dxa" w:w="2835"/>
            <w:shd w:val="clear" w:color="auto" w:fill="DCE6F1"/>
          </w:tcPr>
          <w:p>
            <w:r>
              <w:rPr>
                <w:b/>
                <w:sz w:val="20"/>
              </w:rPr>
              <w:t>Date of Record</w:t>
            </w:r>
          </w:p>
        </w:tc>
        <w:tc>
          <w:tcPr>
            <w:tcW w:type="dxa" w:w="5669"/>
          </w:tcPr>
          <w:p>
            <w:r>
              <w:rPr>
                <w:sz w:val="20"/>
              </w:rPr>
              <w:t>16 April 2025</w:t>
            </w:r>
          </w:p>
        </w:tc>
      </w:tr>
      <w:tr>
        <w:tc>
          <w:tcPr>
            <w:tcW w:type="dxa" w:w="2835"/>
            <w:shd w:val="clear" w:color="auto" w:fill="DCE6F1"/>
          </w:tcPr>
          <w:p>
            <w:r>
              <w:rPr>
                <w:b/>
                <w:sz w:val="20"/>
              </w:rPr>
              <w:t>Commodity</w:t>
            </w:r>
          </w:p>
        </w:tc>
        <w:tc>
          <w:tcPr>
            <w:tcW w:type="dxa" w:w="5669"/>
          </w:tcPr>
          <w:p>
            <w:r>
              <w:rPr>
                <w:sz w:val="20"/>
              </w:rPr>
              <w:t>Lentils</w:t>
            </w:r>
          </w:p>
        </w:tc>
      </w:tr>
      <w:tr>
        <w:tc>
          <w:tcPr>
            <w:tcW w:type="dxa" w:w="2835"/>
            <w:shd w:val="clear" w:color="auto" w:fill="DCE6F1"/>
          </w:tcPr>
          <w:p>
            <w:r>
              <w:rPr>
                <w:b/>
                <w:sz w:val="20"/>
              </w:rPr>
              <w:t>Destination</w:t>
            </w:r>
          </w:p>
        </w:tc>
        <w:tc>
          <w:tcPr>
            <w:tcW w:type="dxa" w:w="5669"/>
          </w:tcPr>
          <w:p>
            <w:r>
              <w:rPr>
                <w:sz w:val="20"/>
              </w:rPr>
              <w:t>Egypt</w:t>
            </w:r>
          </w:p>
        </w:tc>
      </w:tr>
      <w:tr>
        <w:tc>
          <w:tcPr>
            <w:tcW w:type="dxa" w:w="2835"/>
            <w:shd w:val="clear" w:color="auto" w:fill="DCE6F1"/>
          </w:tcPr>
          <w:p>
            <w:r>
              <w:rPr>
                <w:b/>
                <w:sz w:val="20"/>
              </w:rPr>
              <w:t>ABN</w:t>
            </w:r>
          </w:p>
        </w:tc>
        <w:tc>
          <w:tcPr>
            <w:tcW w:type="dxa" w:w="5669"/>
          </w:tcPr>
          <w:p>
            <w:r>
              <w:rPr>
                <w:sz w:val="20"/>
              </w:rPr>
              <w:t>14 567 890 126</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Tablelands Pulse Pty Ltd</w:t>
            </w:r>
          </w:p>
        </w:tc>
      </w:tr>
      <w:tr>
        <w:tc>
          <w:tcPr>
            <w:tcW w:type="dxa" w:w="2835"/>
            <w:shd w:val="clear" w:color="auto" w:fill="DCE6F1"/>
          </w:tcPr>
          <w:p>
            <w:r>
              <w:rPr>
                <w:b/>
                <w:sz w:val="20"/>
              </w:rPr>
              <w:t>Trading Name</w:t>
            </w:r>
          </w:p>
        </w:tc>
        <w:tc>
          <w:tcPr>
            <w:tcW w:type="dxa" w:w="5669"/>
          </w:tcPr>
          <w:p>
            <w:r>
              <w:rPr>
                <w:sz w:val="20"/>
              </w:rPr>
              <w:t>Tablelands Pulse Pty Ltd</w:t>
            </w:r>
          </w:p>
        </w:tc>
      </w:tr>
      <w:tr>
        <w:tc>
          <w:tcPr>
            <w:tcW w:type="dxa" w:w="2835"/>
            <w:shd w:val="clear" w:color="auto" w:fill="DCE6F1"/>
          </w:tcPr>
          <w:p>
            <w:r>
              <w:rPr>
                <w:b/>
                <w:sz w:val="20"/>
              </w:rPr>
              <w:t>Address</w:t>
            </w:r>
          </w:p>
        </w:tc>
        <w:tc>
          <w:tcPr>
            <w:tcW w:type="dxa" w:w="5669"/>
          </w:tcPr>
          <w:p>
            <w:r>
              <w:rPr>
                <w:sz w:val="20"/>
              </w:rPr>
              <w:t>19 New England Highway, Inverell NSW 2360</w:t>
            </w:r>
          </w:p>
        </w:tc>
      </w:tr>
      <w:tr>
        <w:tc>
          <w:tcPr>
            <w:tcW w:type="dxa" w:w="2835"/>
            <w:shd w:val="clear" w:color="auto" w:fill="DCE6F1"/>
          </w:tcPr>
          <w:p>
            <w:r>
              <w:rPr>
                <w:b/>
                <w:sz w:val="20"/>
              </w:rPr>
              <w:t>State/Territory</w:t>
            </w:r>
          </w:p>
        </w:tc>
        <w:tc>
          <w:tcPr>
            <w:tcW w:type="dxa" w:w="5669"/>
          </w:tcPr>
          <w:p>
            <w:r>
              <w:rPr>
                <w:sz w:val="20"/>
              </w:rPr>
              <w:t>NSW</w:t>
            </w:r>
          </w:p>
        </w:tc>
      </w:tr>
      <w:tr>
        <w:tc>
          <w:tcPr>
            <w:tcW w:type="dxa" w:w="2835"/>
            <w:shd w:val="clear" w:color="auto" w:fill="DCE6F1"/>
          </w:tcPr>
          <w:p>
            <w:r>
              <w:rPr>
                <w:b/>
                <w:sz w:val="20"/>
              </w:rPr>
              <w:t>Contact Person</w:t>
            </w:r>
          </w:p>
        </w:tc>
        <w:tc>
          <w:tcPr>
            <w:tcW w:type="dxa" w:w="5669"/>
          </w:tcPr>
          <w:p>
            <w:r>
              <w:rPr>
                <w:sz w:val="20"/>
              </w:rPr>
              <w:t>Stephanie Brown</w:t>
            </w:r>
          </w:p>
        </w:tc>
      </w:tr>
      <w:tr>
        <w:tc>
          <w:tcPr>
            <w:tcW w:type="dxa" w:w="2835"/>
            <w:shd w:val="clear" w:color="auto" w:fill="DCE6F1"/>
          </w:tcPr>
          <w:p>
            <w:r>
              <w:rPr>
                <w:b/>
                <w:sz w:val="20"/>
              </w:rPr>
              <w:t>Business Structure</w:t>
            </w:r>
          </w:p>
        </w:tc>
        <w:tc>
          <w:tcPr>
            <w:tcW w:type="dxa" w:w="5669"/>
          </w:tcPr>
          <w:p>
            <w:r>
              <w:rPr>
                <w:sz w:val="20"/>
              </w:rPr>
              <w:t>Proprietary company</w:t>
            </w:r>
          </w:p>
        </w:tc>
      </w:tr>
      <w:tr>
        <w:tc>
          <w:tcPr>
            <w:tcW w:type="dxa" w:w="2835"/>
            <w:shd w:val="clear" w:color="auto" w:fill="DCE6F1"/>
          </w:tcPr>
          <w:p>
            <w:r>
              <w:rPr>
                <w:b/>
                <w:sz w:val="20"/>
              </w:rPr>
              <w:t>Registration Number</w:t>
            </w:r>
          </w:p>
        </w:tc>
        <w:tc>
          <w:tcPr>
            <w:tcW w:type="dxa" w:w="5669"/>
          </w:tcPr>
          <w:p>
            <w:r>
              <w:rPr>
                <w:sz w:val="20"/>
              </w:rPr>
              <w:t>RE-NSW-2022-0055</w:t>
            </w:r>
          </w:p>
        </w:tc>
      </w:tr>
      <w:tr>
        <w:tc>
          <w:tcPr>
            <w:tcW w:type="dxa" w:w="2835"/>
            <w:shd w:val="clear" w:color="auto" w:fill="DCE6F1"/>
          </w:tcPr>
          <w:p>
            <w:r>
              <w:rPr>
                <w:b/>
                <w:sz w:val="20"/>
              </w:rPr>
              <w:t>Registration Expiry</w:t>
            </w:r>
          </w:p>
        </w:tc>
        <w:tc>
          <w:tcPr>
            <w:tcW w:type="dxa" w:w="5669"/>
          </w:tcPr>
          <w:p>
            <w:r>
              <w:rPr>
                <w:sz w:val="20"/>
              </w:rPr>
              <w:t>10 January 2025</w:t>
            </w:r>
          </w:p>
        </w:tc>
      </w:tr>
    </w:tbl>
    <w:p/>
    <w:p>
      <w:pPr>
        <w:pStyle w:val="Heading1"/>
      </w:pPr>
      <w:r>
        <w:rPr>
          <w:color w:val="1F497D"/>
          <w:sz w:val="26"/>
        </w:rPr>
        <w:t>2. Registered Export Operations</w:t>
      </w:r>
    </w:p>
    <w:p>
      <w:r>
        <w:rPr>
          <w:sz w:val="20"/>
        </w:rPr>
        <w:t>This establishment is registered to conduct export operations for lentils (pulse). All export activities carried out at this premises are within the registered scope as approved by the Department of Agriculture, Fisheries and Forestry (DAFF).</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Lentils receival</w:t>
            </w:r>
          </w:p>
        </w:tc>
        <w:tc>
          <w:tcPr>
            <w:tcW w:type="dxa" w:w="3135"/>
            <w:shd w:val="clear" w:color="auto" w:fill="F2F2F2"/>
          </w:tcPr>
          <w:p>
            <w:r>
              <w:rPr>
                <w:sz w:val="20"/>
              </w:rPr>
              <w:t>Intake of bulk and bagged lentils from registered growers</w:t>
            </w:r>
          </w:p>
        </w:tc>
        <w:tc>
          <w:tcPr>
            <w:tcW w:type="dxa" w:w="3135"/>
            <w:shd w:val="clear" w:color="auto" w:fill="F2F2F2"/>
          </w:tcPr>
          <w:p>
            <w:r>
              <w:rPr>
                <w:sz w:val="20"/>
              </w:rPr>
              <w:t>Within scope</w:t>
            </w:r>
          </w:p>
        </w:tc>
      </w:tr>
      <w:tr>
        <w:tc>
          <w:tcPr>
            <w:tcW w:type="dxa" w:w="3135"/>
          </w:tcPr>
          <w:p>
            <w:r>
              <w:rPr>
                <w:sz w:val="20"/>
              </w:rPr>
              <w:t>Cleaning and grading</w:t>
            </w:r>
          </w:p>
        </w:tc>
        <w:tc>
          <w:tcPr>
            <w:tcW w:type="dxa" w:w="3135"/>
          </w:tcPr>
          <w:p>
            <w:r>
              <w:rPr>
                <w:sz w:val="20"/>
              </w:rPr>
              <w:t>Processing of lentils to export specification</w:t>
            </w:r>
          </w:p>
        </w:tc>
        <w:tc>
          <w:tcPr>
            <w:tcW w:type="dxa" w:w="3135"/>
          </w:tcPr>
          <w:p>
            <w:r>
              <w:rPr>
                <w:sz w:val="20"/>
              </w:rPr>
              <w:t>Within scope</w:t>
            </w:r>
          </w:p>
        </w:tc>
      </w:tr>
      <w:tr>
        <w:tc>
          <w:tcPr>
            <w:tcW w:type="dxa" w:w="3135"/>
            <w:shd w:val="clear" w:color="auto" w:fill="F2F2F2"/>
          </w:tcPr>
          <w:p>
            <w:r>
              <w:rPr>
                <w:sz w:val="20"/>
              </w:rPr>
              <w:t>Storage</w:t>
            </w:r>
          </w:p>
        </w:tc>
        <w:tc>
          <w:tcPr>
            <w:tcW w:type="dxa" w:w="3135"/>
            <w:shd w:val="clear" w:color="auto" w:fill="F2F2F2"/>
          </w:tcPr>
          <w:p>
            <w:r>
              <w:rPr>
                <w:sz w:val="20"/>
              </w:rPr>
              <w:t>Storage of lentils in registered receival and storage areas</w:t>
            </w:r>
          </w:p>
        </w:tc>
        <w:tc>
          <w:tcPr>
            <w:tcW w:type="dxa" w:w="3135"/>
            <w:shd w:val="clear" w:color="auto" w:fill="F2F2F2"/>
          </w:tcPr>
          <w:p>
            <w:r>
              <w:rPr>
                <w:sz w:val="20"/>
              </w:rPr>
              <w:t>Within scope</w:t>
            </w:r>
          </w:p>
        </w:tc>
      </w:tr>
      <w:tr>
        <w:tc>
          <w:tcPr>
            <w:tcW w:type="dxa" w:w="3135"/>
          </w:tcPr>
          <w:p>
            <w:r>
              <w:rPr>
                <w:sz w:val="20"/>
              </w:rPr>
              <w:t>Sampling</w:t>
            </w:r>
          </w:p>
        </w:tc>
        <w:tc>
          <w:tcPr>
            <w:tcW w:type="dxa" w:w="3135"/>
          </w:tcPr>
          <w:p>
            <w:r>
              <w:rPr>
                <w:sz w:val="20"/>
              </w:rPr>
              <w:t>Pre-export sampling for quality and phytosanitary inspection</w:t>
            </w:r>
          </w:p>
        </w:tc>
        <w:tc>
          <w:tcPr>
            <w:tcW w:type="dxa" w:w="3135"/>
          </w:tcPr>
          <w:p>
            <w:r>
              <w:rPr>
                <w:sz w:val="20"/>
              </w:rPr>
              <w:t>Within scope</w:t>
            </w:r>
          </w:p>
        </w:tc>
      </w:tr>
      <w:tr>
        <w:tc>
          <w:tcPr>
            <w:tcW w:type="dxa" w:w="3135"/>
            <w:shd w:val="clear" w:color="auto" w:fill="F2F2F2"/>
          </w:tcPr>
          <w:p>
            <w:r>
              <w:rPr>
                <w:sz w:val="20"/>
              </w:rPr>
              <w:t>Dispatch</w:t>
            </w:r>
          </w:p>
        </w:tc>
        <w:tc>
          <w:tcPr>
            <w:tcW w:type="dxa" w:w="3135"/>
            <w:shd w:val="clear" w:color="auto" w:fill="F2F2F2"/>
          </w:tcPr>
          <w:p>
            <w:r>
              <w:rPr>
                <w:sz w:val="20"/>
              </w:rPr>
              <w:t>Loading and dispatch of certified consignments</w:t>
            </w:r>
          </w:p>
        </w:tc>
        <w:tc>
          <w:tcPr>
            <w:tcW w:type="dxa" w:w="3135"/>
            <w:shd w:val="clear" w:color="auto" w:fill="F2F2F2"/>
          </w:tcPr>
          <w:p>
            <w:r>
              <w:rPr>
                <w:sz w:val="20"/>
              </w:rPr>
              <w:t>Within scope</w:t>
            </w:r>
          </w:p>
        </w:tc>
      </w:tr>
    </w:tbl>
    <w:p/>
    <w:p>
      <w:pPr>
        <w:pStyle w:val="Heading1"/>
      </w:pPr>
      <w:r>
        <w:rPr>
          <w:color w:val="1F497D"/>
          <w:sz w:val="26"/>
        </w:rPr>
        <w:t>3. Registration Status</w:t>
      </w:r>
    </w:p>
    <w:p>
      <w:r>
        <w:rPr>
          <w:sz w:val="20"/>
        </w:rPr>
        <w:t>Registration RE-NSW-2022-0055 is current and active. The establishment was granted registration on 11 January 2022 and the current registration period extends to 10 January 2025. There are no conditions, suspensions or reviews attached to this registration.</w:t>
      </w:r>
    </w:p>
    <w:p/>
    <w:p>
      <w:pPr>
        <w:pStyle w:val="Heading1"/>
      </w:pPr>
      <w:r>
        <w:rPr>
          <w:color w:val="1F497D"/>
          <w:sz w:val="26"/>
        </w:rPr>
        <w:t>4. Fit and Proper Person</w:t>
      </w:r>
    </w:p>
    <w:p>
      <w:r>
        <w:rPr>
          <w:sz w:val="20"/>
        </w:rPr>
        <w:t>Stephanie Brown is the nominated responsible person for this registration. The establishment has been under continuous management since 2019. The entity is a proprietary company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registered premises comprise the receival and storage complex at 19 New England Highway, Inverell NSW 2360. The area is approximately 20.0 ha. The boundary is the external fenceline of the farm.</w:t>
      </w:r>
    </w:p>
    <w:p/>
    <w:p>
      <w:pPr>
        <w:pStyle w:val="Heading1"/>
      </w:pPr>
      <w:r>
        <w:rPr>
          <w:color w:val="1F497D"/>
          <w:sz w:val="26"/>
        </w:rPr>
        <w:t>6. Features, Facilities and Adjoining Sites</w:t>
      </w:r>
    </w:p>
    <w:p>
      <w:pPr>
        <w:pStyle w:val="Heading2"/>
      </w:pPr>
      <w:r>
        <w:rPr>
          <w:color w:val="1F497D"/>
          <w:sz w:val="22"/>
        </w:rPr>
        <w:t>6.1 Buildings and Structures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Building / Structure</w:t>
            </w:r>
          </w:p>
        </w:tc>
        <w:tc>
          <w:tcPr>
            <w:tcW w:type="dxa" w:w="4703"/>
            <w:shd w:val="clear" w:color="auto" w:fill="1F497D"/>
          </w:tcPr>
          <w:p>
            <w:r>
              <w:rPr>
                <w:b/>
                <w:color w:val="FFFFFF"/>
                <w:sz w:val="20"/>
              </w:rPr>
              <w:t>Description</w:t>
            </w:r>
          </w:p>
        </w:tc>
      </w:tr>
      <w:tr>
        <w:tc>
          <w:tcPr>
            <w:tcW w:type="dxa" w:w="4703"/>
            <w:shd w:val="clear" w:color="auto" w:fill="F2F2F2"/>
          </w:tcPr>
          <w:p>
            <w:r>
              <w:rPr>
                <w:sz w:val="20"/>
              </w:rPr>
              <w:t>Main receival shed</w:t>
            </w:r>
          </w:p>
        </w:tc>
        <w:tc>
          <w:tcPr>
            <w:tcW w:type="dxa" w:w="4703"/>
            <w:shd w:val="clear" w:color="auto" w:fill="F2F2F2"/>
          </w:tcPr>
          <w:p>
            <w:r>
              <w:rPr>
                <w:sz w:val="20"/>
              </w:rPr>
              <w:t>Steel frame, concrete floor, roller-door access, 1,200 t capacity</w:t>
            </w:r>
          </w:p>
        </w:tc>
      </w:tr>
      <w:tr>
        <w:tc>
          <w:tcPr>
            <w:tcW w:type="dxa" w:w="4703"/>
          </w:tcPr>
          <w:p>
            <w:r>
              <w:rPr>
                <w:sz w:val="20"/>
              </w:rPr>
              <w:t>Silo complex (×4)</w:t>
            </w:r>
          </w:p>
        </w:tc>
        <w:tc>
          <w:tcPr>
            <w:tcW w:type="dxa" w:w="4703"/>
          </w:tcPr>
          <w:p>
            <w:r>
              <w:rPr>
                <w:sz w:val="20"/>
              </w:rPr>
              <w:t>Corrugated steel upright silos, 500 t each, aeration fitted</w:t>
            </w:r>
          </w:p>
        </w:tc>
      </w:tr>
      <w:tr>
        <w:tc>
          <w:tcPr>
            <w:tcW w:type="dxa" w:w="4703"/>
            <w:shd w:val="clear" w:color="auto" w:fill="F2F2F2"/>
          </w:tcPr>
          <w:p>
            <w:r>
              <w:rPr>
                <w:sz w:val="20"/>
              </w:rPr>
              <w:t>Machinery shed</w:t>
            </w:r>
          </w:p>
        </w:tc>
        <w:tc>
          <w:tcPr>
            <w:tcW w:type="dxa" w:w="4703"/>
            <w:shd w:val="clear" w:color="auto" w:fill="F2F2F2"/>
          </w:tcPr>
          <w:p>
            <w:r>
              <w:rPr>
                <w:sz w:val="20"/>
              </w:rPr>
              <w:t>Steel frame, open-front, houses headers and augers</w:t>
            </w:r>
          </w:p>
        </w:tc>
      </w:tr>
      <w:tr>
        <w:tc>
          <w:tcPr>
            <w:tcW w:type="dxa" w:w="4703"/>
          </w:tcPr>
          <w:p>
            <w:r>
              <w:rPr>
                <w:sz w:val="20"/>
              </w:rPr>
              <w:t>Chemical storage room</w:t>
            </w:r>
          </w:p>
        </w:tc>
        <w:tc>
          <w:tcPr>
            <w:tcW w:type="dxa" w:w="4703"/>
          </w:tcPr>
          <w:p>
            <w:r>
              <w:rPr>
                <w:sz w:val="20"/>
              </w:rPr>
              <w:t>Lockable, ventilated, bunded, separate from grain storage</w:t>
            </w:r>
          </w:p>
        </w:tc>
      </w:tr>
      <w:tr>
        <w:tc>
          <w:tcPr>
            <w:tcW w:type="dxa" w:w="4703"/>
            <w:shd w:val="clear" w:color="auto" w:fill="F2F2F2"/>
          </w:tcPr>
          <w:p>
            <w:r>
              <w:rPr>
                <w:sz w:val="20"/>
              </w:rPr>
              <w:t>Office and amenities</w:t>
            </w:r>
          </w:p>
        </w:tc>
        <w:tc>
          <w:tcPr>
            <w:tcW w:type="dxa" w:w="4703"/>
            <w:shd w:val="clear" w:color="auto" w:fill="F2F2F2"/>
          </w:tcPr>
          <w:p>
            <w:r>
              <w:rPr>
                <w:sz w:val="20"/>
              </w:rPr>
              <w:t>Portable cabin — office, toilet, first aid kit</w:t>
            </w:r>
          </w:p>
        </w:tc>
      </w:tr>
    </w:tbl>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Electricity</w:t>
            </w:r>
          </w:p>
        </w:tc>
        <w:tc>
          <w:tcPr>
            <w:tcW w:type="dxa" w:w="4703"/>
            <w:shd w:val="clear" w:color="auto" w:fill="F2F2F2"/>
          </w:tcPr>
          <w:p>
            <w:r>
              <w:rPr>
                <w:sz w:val="20"/>
              </w:rPr>
              <w:t>Three-phase mains power, metered supply</w:t>
            </w:r>
          </w:p>
        </w:tc>
      </w:tr>
      <w:tr>
        <w:tc>
          <w:tcPr>
            <w:tcW w:type="dxa" w:w="4703"/>
          </w:tcPr>
          <w:p>
            <w:r>
              <w:rPr>
                <w:sz w:val="20"/>
              </w:rPr>
              <w:t>Water</w:t>
            </w:r>
          </w:p>
        </w:tc>
        <w:tc>
          <w:tcPr>
            <w:tcW w:type="dxa" w:w="4703"/>
          </w:tcPr>
          <w:p>
            <w:r>
              <w:rPr>
                <w:sz w:val="20"/>
              </w:rPr>
              <w:t>Mains connected; potable supply to amenities; tank water for dust suppression</w:t>
            </w:r>
          </w:p>
        </w:tc>
      </w:tr>
      <w:tr>
        <w:tc>
          <w:tcPr>
            <w:tcW w:type="dxa" w:w="4703"/>
            <w:shd w:val="clear" w:color="auto" w:fill="F2F2F2"/>
          </w:tcPr>
          <w:p>
            <w:r>
              <w:rPr>
                <w:sz w:val="20"/>
              </w:rPr>
              <w:t>Weighbridge</w:t>
            </w:r>
          </w:p>
        </w:tc>
        <w:tc>
          <w:tcPr>
            <w:tcW w:type="dxa" w:w="4703"/>
            <w:shd w:val="clear" w:color="auto" w:fill="F2F2F2"/>
          </w:tcPr>
          <w:p>
            <w:r>
              <w:rPr>
                <w:sz w:val="20"/>
              </w:rPr>
              <w:t>60 t capacity, calibrated annually, NATA-endorsed</w:t>
            </w:r>
          </w:p>
        </w:tc>
      </w:tr>
      <w:tr>
        <w:tc>
          <w:tcPr>
            <w:tcW w:type="dxa" w:w="4703"/>
          </w:tcPr>
          <w:p>
            <w:r>
              <w:rPr>
                <w:sz w:val="20"/>
              </w:rPr>
              <w:t>Drainage</w:t>
            </w:r>
          </w:p>
        </w:tc>
        <w:tc>
          <w:tcPr>
            <w:tcW w:type="dxa" w:w="4703"/>
          </w:tcPr>
          <w:p>
            <w:r>
              <w:rPr>
                <w:sz w:val="20"/>
              </w:rPr>
              <w:t>Concrete hardstand with perimeter drain to collection sump</w:t>
            </w:r>
          </w:p>
        </w:tc>
      </w:tr>
    </w:tbl>
    <w:p/>
    <w:p>
      <w:pPr>
        <w:pStyle w:val="Heading2"/>
      </w:pPr>
      <w:r>
        <w:rPr>
          <w:color w:val="1F497D"/>
          <w:sz w:val="22"/>
        </w:rPr>
        <w:t>6.3 Adjoining Sites</w:t>
      </w:r>
    </w:p>
    <w:p>
      <w:r>
        <w:rPr>
          <w:sz w:val="20"/>
        </w:rPr>
        <w:t>The registered premises adjoin: (north) sealed public road; (east) cropping paddocks under same ownership; (south) state forest reserve — no stock or chemical activities; (west) neighbour's mixed-farming property — grain growing, no spray operations within 200 m.</w:t>
      </w:r>
    </w:p>
    <w:p/>
    <w:p>
      <w:pPr>
        <w:pStyle w:val="Heading1"/>
      </w:pPr>
      <w:r>
        <w:rPr>
          <w:color w:val="1F497D"/>
          <w:sz w:val="26"/>
        </w:rPr>
        <w:t>7. Layout and Product Flow</w:t>
      </w:r>
    </w:p>
    <w:p>
      <w:r>
        <w:rPr>
          <w:sz w:val="20"/>
        </w:rPr>
        <w:t>A scaled site plan is attached at Appendix A. The plan shows the location of all receival, storage, processing and dispatch infrastructure, including silo positions, shed footprints, hardstand areas, weighbridge, access roads, and the designated export sampling point.</w:t>
        <w:br/>
        <w:br/>
        <w:t>Product flow: lentils is received at the intake pit (north hardstand), elevated to the main conveyor, and directed to either the silo complex or receival shed. Cleaned and graded product is transferred by auger to the outloading hopper for bulk dispatch. All product flow is contained within the registered area. Segregation from non-registered commodities is maintained by dedicated equipment and labelled storage zones.</w:t>
      </w:r>
    </w:p>
    <w:p/>
    <w:p>
      <w:pPr>
        <w:pStyle w:val="Heading1"/>
      </w:pPr>
      <w:r>
        <w:rPr>
          <w:color w:val="1F497D"/>
          <w:sz w:val="26"/>
        </w:rPr>
        <w:t>8. Construction, Equipment and Facilities</w:t>
      </w:r>
    </w:p>
    <w:p>
      <w:r>
        <w:rPr>
          <w:sz w:val="20"/>
        </w:rPr>
        <w:t>The establishment infrastructure is designed and maintained to support the export of lentils. Total storage capacity is approximately 1,200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No changes to the registered establishment name, address, ownership, management or trading name have occurred since the last registration renewal. Should any such changes occur, DAFF will be notified in writing within the required timeframe as per Rule 4-6 of the Export Control (Plants and Plant Products) Rules 2021.</w:t>
      </w:r>
    </w:p>
    <w:p/>
    <w:p>
      <w:pPr>
        <w:pStyle w:val="Heading1"/>
      </w:pPr>
      <w:r>
        <w:rPr>
          <w:color w:val="1F497D"/>
          <w:sz w:val="26"/>
        </w:rPr>
        <w:t>10. Alterations to Registered Premises</w:t>
      </w:r>
    </w:p>
    <w:p>
      <w:r>
        <w:rPr>
          <w:sz w:val="20"/>
        </w:rPr>
        <w:t>No structural alterations or additions to the registered premises have been carried out since the last registration approval. Any proposed alterations will be submitted to DAFF for approval prior to commencement of works, in accordance with Rule 4-5 of the Export Control (Plants and Plant Products) Rules 2021.</w:t>
      </w:r>
    </w:p>
    <w:p/>
    <w:p>
      <w:pPr>
        <w:pStyle w:val="Heading1"/>
      </w:pPr>
      <w:r>
        <w:rPr>
          <w:color w:val="1F497D"/>
          <w:sz w:val="26"/>
        </w:rPr>
        <w:t>11. Importing Country Requirements</w:t>
      </w:r>
    </w:p>
    <w:p>
      <w:r>
        <w:rPr>
          <w:sz w:val="20"/>
        </w:rPr>
        <w:t>The following requirements apply to export consignments destined for Egypt:</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Requirement</w:t>
            </w:r>
          </w:p>
        </w:tc>
        <w:tc>
          <w:tcPr>
            <w:tcW w:type="dxa" w:w="4703"/>
            <w:shd w:val="clear" w:color="auto" w:fill="1F497D"/>
          </w:tcPr>
          <w:p>
            <w:r>
              <w:rPr>
                <w:b/>
                <w:color w:val="FFFFFF"/>
                <w:sz w:val="20"/>
              </w:rPr>
              <w:t>Details</w:t>
            </w:r>
          </w:p>
        </w:tc>
      </w:tr>
      <w:tr>
        <w:tc>
          <w:tcPr>
            <w:tcW w:type="dxa" w:w="4703"/>
            <w:shd w:val="clear" w:color="auto" w:fill="F2F2F2"/>
          </w:tcPr>
          <w:p>
            <w:r>
              <w:rPr>
                <w:sz w:val="20"/>
              </w:rPr>
              <w:t>Phytosanitary Certificate</w:t>
            </w:r>
          </w:p>
        </w:tc>
        <w:tc>
          <w:tcPr>
            <w:tcW w:type="dxa" w:w="4703"/>
            <w:shd w:val="clear" w:color="auto" w:fill="F2F2F2"/>
          </w:tcPr>
          <w:p>
            <w:r>
              <w:rPr>
                <w:sz w:val="20"/>
              </w:rPr>
              <w:t>PC with Bruchid freedom declaration</w:t>
            </w:r>
          </w:p>
        </w:tc>
      </w:tr>
      <w:tr>
        <w:tc>
          <w:tcPr>
            <w:tcW w:type="dxa" w:w="4703"/>
          </w:tcPr>
          <w:p>
            <w:r>
              <w:rPr>
                <w:sz w:val="20"/>
              </w:rPr>
              <w:t>GOEIC Inspection</w:t>
            </w:r>
          </w:p>
        </w:tc>
        <w:tc>
          <w:tcPr>
            <w:tcW w:type="dxa" w:w="4703"/>
          </w:tcPr>
          <w:p>
            <w:r>
              <w:rPr>
                <w:sz w:val="20"/>
              </w:rPr>
              <w:t>Pre-shipment quality and phytosanitary inspection</w:t>
            </w:r>
          </w:p>
        </w:tc>
      </w:tr>
      <w:tr>
        <w:tc>
          <w:tcPr>
            <w:tcW w:type="dxa" w:w="4703"/>
            <w:shd w:val="clear" w:color="auto" w:fill="F2F2F2"/>
          </w:tcPr>
          <w:p>
            <w:r>
              <w:rPr>
                <w:sz w:val="20"/>
              </w:rPr>
              <w:t>Fumigation</w:t>
            </w:r>
          </w:p>
        </w:tc>
        <w:tc>
          <w:tcPr>
            <w:tcW w:type="dxa" w:w="4703"/>
            <w:shd w:val="clear" w:color="auto" w:fill="F2F2F2"/>
          </w:tcPr>
          <w:p>
            <w:r>
              <w:rPr>
                <w:sz w:val="20"/>
              </w:rPr>
              <w:t>Documented treatment records</w:t>
            </w:r>
          </w:p>
        </w:tc>
      </w:tr>
    </w:tbl>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Stephanie Brown, as the responsible person for Tablelands Pulse Pty Ltd (RE RE-NSW-2022-0055),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Stephanie Brown</w:t>
            </w:r>
          </w:p>
        </w:tc>
      </w:tr>
      <w:tr>
        <w:tc>
          <w:tcPr>
            <w:tcW w:type="dxa" w:w="2835"/>
            <w:shd w:val="clear" w:color="auto" w:fill="DCE6F1"/>
          </w:tcPr>
          <w:p>
            <w:r>
              <w:rPr>
                <w:b/>
                <w:sz w:val="20"/>
              </w:rPr>
              <w:t>Date</w:t>
            </w:r>
          </w:p>
        </w:tc>
        <w:tc>
          <w:tcPr>
            <w:tcW w:type="dxa" w:w="5669"/>
          </w:tcPr>
          <w:p>
            <w:r>
              <w:rPr>
                <w:sz w:val="20"/>
              </w:rPr>
              <w:t>16 April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